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21E1F"/>
          <w:sz w:val="36"/>
          <w:szCs w:val="36"/>
        </w:rPr>
        <w:t xml:space="preserve">MEMORANDUM OF UNDERSTANDING</w:t>
      </w:r>
    </w:p>
    <w:p>
      <w:pPr>
        <w:spacing w:after="60" w:before="0"/>
        <w:jc w:val="center"/>
      </w:pPr>
      <w:r>
        <w:rPr>
          <w:rFonts w:ascii="Arial" w:cs="Arial" w:eastAsia="Arial" w:hAnsi="Arial"/>
          <w:i/>
          <w:iCs/>
          <w:color w:val="221E1F"/>
          <w:sz w:val="22"/>
          <w:szCs w:val="22"/>
        </w:rPr>
        <w:t xml:space="preserve">Between</w:t>
      </w:r>
    </w:p>
    <w:p>
      <w:pPr>
        <w:spacing w:after="40" w:before="0"/>
        <w:jc w:val="center"/>
      </w:pPr>
      <w:r>
        <w:rPr>
          <w:rFonts w:ascii="Arial" w:cs="Arial" w:eastAsia="Arial" w:hAnsi="Arial"/>
          <w:b/>
          <w:bCs/>
          <w:color w:val="F0562D"/>
          <w:sz w:val="26"/>
          <w:szCs w:val="26"/>
        </w:rPr>
        <w:t xml:space="preserve">THE BEACONPATH GHANA (BPG)</w:t>
      </w:r>
    </w:p>
    <w:p>
      <w:pPr>
        <w:spacing w:after="60" w:before="0"/>
        <w:jc w:val="center"/>
      </w:pPr>
      <w:r>
        <w:rPr>
          <w:rFonts w:ascii="Arial" w:cs="Arial" w:eastAsia="Arial" w:hAnsi="Arial"/>
          <w:i/>
          <w:iCs/>
          <w:color w:val="221E1F"/>
          <w:sz w:val="22"/>
          <w:szCs w:val="22"/>
        </w:rPr>
        <w:t xml:space="preserve">and</w:t>
      </w:r>
    </w:p>
    <w:p>
      <w:pPr>
        <w:spacing w:after="40" w:before="0"/>
        <w:jc w:val="center"/>
      </w:pPr>
      <w:r>
        <w:rPr>
          <w:rFonts w:ascii="Arial" w:cs="Arial" w:eastAsia="Arial" w:hAnsi="Arial"/>
          <w:b/>
          <w:bCs/>
          <w:color w:val="221E1F"/>
          <w:sz w:val="26"/>
          <w:szCs w:val="26"/>
        </w:rPr>
        <w:t xml:space="preserve">AGAPE HOUSE NEW TESTAMENT CHURCH</w:t>
      </w:r>
    </w:p>
    <w:p>
      <w:pPr>
        <w:spacing w:after="0" w:before="60"/>
      </w:pPr>
    </w:p>
    <w:p>
      <w:pPr>
        <w:pBdr>
          <w:bottom w:val="single" w:color="F0562D" w:sz="14" w:space="1"/>
        </w:pBdr>
        <w:spacing w:after="20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EAEADA" w:val="clear"/>
            <w:tcMar>
              <w:top w:type="dxa" w:w="80"/>
              <w:left w:type="dxa" w:w="160"/>
              <w:bottom w:type="dxa" w:w="80"/>
              <w:right w:type="dxa" w:w="100"/>
            </w:tcMar>
          </w:tcPr>
          <w:p>
            <w:r>
              <w:rPr>
                <w:rFonts w:ascii="Arial" w:cs="Arial" w:eastAsia="Arial" w:hAnsi="Arial"/>
                <w:b/>
                <w:bCs/>
                <w:color w:val="221E1F"/>
                <w:sz w:val="21"/>
                <w:szCs w:val="21"/>
              </w:rPr>
              <w:t xml:space="preserve">Effective Date</w:t>
            </w:r>
          </w:p>
        </w:tc>
        <w:tc>
          <w:tcPr>
            <w:tcW w:type="dxa" w:w="73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1E1F"/>
                <w:sz w:val="21"/>
                <w:szCs w:val="21"/>
              </w:rPr>
              <w:t xml:space="preserve">_________________________ 2026</w:t>
            </w:r>
          </w:p>
        </w:tc>
      </w:tr>
      <w:tr>
        <w:tc>
          <w:tcPr>
            <w:tcW w:type="dxa" w:w="2400"/>
            <w:tcBorders>
              <w:top w:val="single" w:color="CCCCCC" w:sz="1"/>
              <w:left w:val="single" w:color="CCCCCC" w:sz="1"/>
              <w:bottom w:val="single" w:color="CCCCCC" w:sz="1"/>
              <w:right w:val="single" w:color="CCCCCC" w:sz="1"/>
            </w:tcBorders>
            <w:shd w:fill="EAEADA" w:val="clear"/>
            <w:tcMar>
              <w:top w:type="dxa" w:w="80"/>
              <w:left w:type="dxa" w:w="160"/>
              <w:bottom w:type="dxa" w:w="80"/>
              <w:right w:type="dxa" w:w="100"/>
            </w:tcMar>
          </w:tcPr>
          <w:p>
            <w:r>
              <w:rPr>
                <w:rFonts w:ascii="Arial" w:cs="Arial" w:eastAsia="Arial" w:hAnsi="Arial"/>
                <w:b/>
                <w:bCs/>
                <w:color w:val="221E1F"/>
                <w:sz w:val="21"/>
                <w:szCs w:val="21"/>
              </w:rPr>
              <w:t xml:space="preserve">Party A</w:t>
            </w:r>
          </w:p>
        </w:tc>
        <w:tc>
          <w:tcPr>
            <w:tcW w:type="dxa" w:w="73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1E1F"/>
                <w:sz w:val="21"/>
                <w:szCs w:val="21"/>
              </w:rPr>
              <w:t xml:space="preserve">The BeaconPath Ghana (BPG) — a nonprofit organisation providing case management, skills training, housing stability support, legal resource navigation, and community reintegration to vulnerable individuals. Represented by Enam Egyir, Founder and Executive Director.</w:t>
            </w:r>
          </w:p>
        </w:tc>
      </w:tr>
      <w:tr>
        <w:tc>
          <w:tcPr>
            <w:tcW w:type="dxa" w:w="2400"/>
            <w:tcBorders>
              <w:top w:val="single" w:color="CCCCCC" w:sz="1"/>
              <w:left w:val="single" w:color="CCCCCC" w:sz="1"/>
              <w:bottom w:val="single" w:color="CCCCCC" w:sz="1"/>
              <w:right w:val="single" w:color="CCCCCC" w:sz="1"/>
            </w:tcBorders>
            <w:shd w:fill="EAEADA" w:val="clear"/>
            <w:tcMar>
              <w:top w:type="dxa" w:w="80"/>
              <w:left w:type="dxa" w:w="160"/>
              <w:bottom w:type="dxa" w:w="80"/>
              <w:right w:type="dxa" w:w="100"/>
            </w:tcMar>
          </w:tcPr>
          <w:p>
            <w:r>
              <w:rPr>
                <w:rFonts w:ascii="Arial" w:cs="Arial" w:eastAsia="Arial" w:hAnsi="Arial"/>
                <w:b/>
                <w:bCs/>
                <w:color w:val="221E1F"/>
                <w:sz w:val="21"/>
                <w:szCs w:val="21"/>
              </w:rPr>
              <w:t xml:space="preserve">Party B</w:t>
            </w:r>
          </w:p>
        </w:tc>
        <w:tc>
          <w:tcPr>
            <w:tcW w:type="dxa" w:w="73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1E1F"/>
                <w:sz w:val="21"/>
                <w:szCs w:val="21"/>
              </w:rPr>
              <w:t xml:space="preserve">Agape House New Testament Church — a faith-based community organisation engaged in outreach, pastoral care, and community welfare activities in Accra, Ghana. Represented by Pastor Terry [Surname], Senior Pastor.</w:t>
            </w:r>
          </w:p>
        </w:tc>
      </w:tr>
    </w:tbl>
    <w:p>
      <w:pPr>
        <w:spacing w:after="0" w:before="280"/>
      </w:pPr>
    </w:p>
    <w:p>
      <w:pPr>
        <w:spacing w:after="100" w:before="360"/>
      </w:pPr>
      <w:r>
        <w:rPr>
          <w:rFonts w:ascii="Arial" w:cs="Arial" w:eastAsia="Arial" w:hAnsi="Arial"/>
          <w:b/>
          <w:bCs/>
          <w:color w:val="F0562D"/>
          <w:sz w:val="24"/>
          <w:szCs w:val="24"/>
        </w:rPr>
        <w:t xml:space="preserve">PREAMBLE.  Background and Purpose</w:t>
      </w:r>
    </w:p>
    <w:p>
      <w:pPr>
        <w:spacing w:after="80" w:before="80"/>
      </w:pPr>
      <w:r>
        <w:rPr>
          <w:rFonts w:ascii="Arial" w:cs="Arial" w:eastAsia="Arial" w:hAnsi="Arial"/>
          <w:color w:val="221E1F"/>
          <w:sz w:val="22"/>
          <w:szCs w:val="22"/>
        </w:rPr>
        <w:t xml:space="preserve">WHEREAS, Agape House New Testament Church (hereinafter "the Church") is engaged in active community outreach targeting vulnerable women in their community, including those experiencing coercion, abuse, and exploitation;</w:t>
      </w:r>
    </w:p>
    <w:p>
      <w:pPr>
        <w:spacing w:after="0" w:before="60"/>
      </w:pPr>
    </w:p>
    <w:p>
      <w:pPr>
        <w:spacing w:after="80" w:before="80"/>
      </w:pPr>
      <w:r>
        <w:rPr>
          <w:rFonts w:ascii="Arial" w:cs="Arial" w:eastAsia="Arial" w:hAnsi="Arial"/>
          <w:color w:val="221E1F"/>
          <w:sz w:val="22"/>
          <w:szCs w:val="22"/>
        </w:rPr>
        <w:t xml:space="preserve">WHEREAS, The BeaconPath Ghana (hereinafter "BNB") is a nonprofit organisation committed to providing structured, compassionate post-crisis support to vulnerable individuals, including case management, psychosocial support, skills training, legal advocacy navigation, and community reintegration;</w:t>
      </w:r>
    </w:p>
    <w:p>
      <w:pPr>
        <w:spacing w:after="0" w:before="60"/>
      </w:pPr>
    </w:p>
    <w:p>
      <w:pPr>
        <w:spacing w:after="80" w:before="80"/>
      </w:pPr>
      <w:r>
        <w:rPr>
          <w:rFonts w:ascii="Arial" w:cs="Arial" w:eastAsia="Arial" w:hAnsi="Arial"/>
          <w:color w:val="221E1F"/>
          <w:sz w:val="22"/>
          <w:szCs w:val="22"/>
        </w:rPr>
        <w:t xml:space="preserve">WHEREAS, both Parties share a commitment to the dignity, safety, and long-term wellbeing of vulnerable individuals in their community;</w:t>
      </w:r>
    </w:p>
    <w:p>
      <w:pPr>
        <w:spacing w:after="0" w:before="60"/>
      </w:pPr>
    </w:p>
    <w:p>
      <w:pPr>
        <w:spacing w:after="80" w:before="80"/>
      </w:pPr>
      <w:r>
        <w:rPr>
          <w:rFonts w:ascii="Arial" w:cs="Arial" w:eastAsia="Arial" w:hAnsi="Arial"/>
          <w:color w:val="221E1F"/>
          <w:sz w:val="22"/>
          <w:szCs w:val="22"/>
        </w:rPr>
        <w:t xml:space="preserve">NOW, THEREFORE, the Parties agree to enter into this Memorandum of Understanding to define the framework of their collaboration, as set out below.</w:t>
      </w:r>
    </w:p>
    <w:p>
      <w:pPr>
        <w:spacing w:after="100" w:before="360"/>
      </w:pPr>
      <w:r>
        <w:rPr>
          <w:rFonts w:ascii="Arial" w:cs="Arial" w:eastAsia="Arial" w:hAnsi="Arial"/>
          <w:b/>
          <w:bCs/>
          <w:color w:val="F0562D"/>
          <w:sz w:val="24"/>
          <w:szCs w:val="24"/>
        </w:rPr>
        <w:t xml:space="preserve">ARTICLE 1.  Objectives of the Partnership</w:t>
      </w:r>
    </w:p>
    <w:p>
      <w:pPr>
        <w:spacing w:after="80" w:before="80"/>
      </w:pPr>
      <w:r>
        <w:rPr>
          <w:rFonts w:ascii="Arial" w:cs="Arial" w:eastAsia="Arial" w:hAnsi="Arial"/>
          <w:color w:val="221E1F"/>
          <w:sz w:val="22"/>
          <w:szCs w:val="22"/>
        </w:rPr>
        <w:t xml:space="preserve">The purpose of this MOU is to establish a formal referral and support partnership between the Church and BNB, whereby:</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The Church conducts frontline community outreach to identify and engage vulnerable women, particularly those experiencing coercion, exploitation, and abuse;</w:t>
      </w:r>
    </w:p>
    <w:p>
      <w:pPr>
        <w:pStyle w:val="ListParagraph"/>
        <w:numPr>
          <w:ilvl w:val="0"/>
          <w:numId w:val="2"/>
        </w:numPr>
        <w:spacing w:after="60" w:before="60"/>
      </w:pPr>
      <w:r>
        <w:rPr>
          <w:rFonts w:ascii="Arial" w:cs="Arial" w:eastAsia="Arial" w:hAnsi="Arial"/>
          <w:color w:val="221E1F"/>
          <w:sz w:val="22"/>
          <w:szCs w:val="22"/>
        </w:rPr>
        <w:t xml:space="preserve">BNB provides post-outreach structured support to individuals referred by the Church, addressing their psychosocial, skills, legal, and reintegration needs;</w:t>
      </w:r>
    </w:p>
    <w:p>
      <w:pPr>
        <w:pStyle w:val="ListParagraph"/>
        <w:numPr>
          <w:ilvl w:val="0"/>
          <w:numId w:val="2"/>
        </w:numPr>
        <w:spacing w:after="60" w:before="60"/>
      </w:pPr>
      <w:r>
        <w:rPr>
          <w:rFonts w:ascii="Arial" w:cs="Arial" w:eastAsia="Arial" w:hAnsi="Arial"/>
          <w:color w:val="221E1F"/>
          <w:sz w:val="22"/>
          <w:szCs w:val="22"/>
        </w:rPr>
        <w:t xml:space="preserve">Both Parties collaborate in a coordinated manner to ensure that vulnerable individuals receive sustained, dignified, and effective support.</w:t>
      </w:r>
    </w:p>
    <w:p>
      <w:pPr>
        <w:spacing w:after="100" w:before="360"/>
      </w:pPr>
      <w:r>
        <w:rPr>
          <w:rFonts w:ascii="Arial" w:cs="Arial" w:eastAsia="Arial" w:hAnsi="Arial"/>
          <w:b/>
          <w:bCs/>
          <w:color w:val="F0562D"/>
          <w:sz w:val="24"/>
          <w:szCs w:val="24"/>
        </w:rPr>
        <w:t xml:space="preserve">ARTICLE 2.  Responsibilities of the Church</w:t>
      </w:r>
    </w:p>
    <w:p>
      <w:pPr>
        <w:spacing w:after="80" w:before="80"/>
      </w:pPr>
      <w:r>
        <w:rPr>
          <w:rFonts w:ascii="Arial" w:cs="Arial" w:eastAsia="Arial" w:hAnsi="Arial"/>
          <w:color w:val="221E1F"/>
          <w:sz w:val="22"/>
          <w:szCs w:val="22"/>
        </w:rPr>
        <w:t xml:space="preserve">In furtherance of this partnership, Agape House New Testament Church agrees to:</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Conduct community outreach activities targeting vulnerable women, with a planned relaunch of outreach efforts from 25 April 2026;</w:t>
      </w:r>
    </w:p>
    <w:p>
      <w:pPr>
        <w:pStyle w:val="ListParagraph"/>
        <w:numPr>
          <w:ilvl w:val="0"/>
          <w:numId w:val="2"/>
        </w:numPr>
        <w:spacing w:after="60" w:before="60"/>
      </w:pPr>
      <w:r>
        <w:rPr>
          <w:rFonts w:ascii="Arial" w:cs="Arial" w:eastAsia="Arial" w:hAnsi="Arial"/>
          <w:color w:val="221E1F"/>
          <w:sz w:val="22"/>
          <w:szCs w:val="22"/>
        </w:rPr>
        <w:t xml:space="preserve">Identify individuals in need of structured post-outreach support and refer them to BNB through an agreed referral process;</w:t>
      </w:r>
    </w:p>
    <w:p>
      <w:pPr>
        <w:pStyle w:val="ListParagraph"/>
        <w:numPr>
          <w:ilvl w:val="0"/>
          <w:numId w:val="2"/>
        </w:numPr>
        <w:spacing w:after="60" w:before="60"/>
      </w:pPr>
      <w:r>
        <w:rPr>
          <w:rFonts w:ascii="Arial" w:cs="Arial" w:eastAsia="Arial" w:hAnsi="Arial"/>
          <w:color w:val="221E1F"/>
          <w:sz w:val="22"/>
          <w:szCs w:val="22"/>
        </w:rPr>
        <w:t xml:space="preserve">Obtain the informed verbal or written consent of each individual prior to making a referral to BNB;</w:t>
      </w:r>
    </w:p>
    <w:p>
      <w:pPr>
        <w:pStyle w:val="ListParagraph"/>
        <w:numPr>
          <w:ilvl w:val="0"/>
          <w:numId w:val="2"/>
        </w:numPr>
        <w:spacing w:after="60" w:before="60"/>
      </w:pPr>
      <w:r>
        <w:rPr>
          <w:rFonts w:ascii="Arial" w:cs="Arial" w:eastAsia="Arial" w:hAnsi="Arial"/>
          <w:color w:val="221E1F"/>
          <w:sz w:val="22"/>
          <w:szCs w:val="22"/>
        </w:rPr>
        <w:t xml:space="preserve">Maintain confidentiality with respect to the identities and circumstances of all individuals encountered during outreach;</w:t>
      </w:r>
    </w:p>
    <w:p>
      <w:pPr>
        <w:pStyle w:val="ListParagraph"/>
        <w:numPr>
          <w:ilvl w:val="0"/>
          <w:numId w:val="2"/>
        </w:numPr>
        <w:spacing w:after="60" w:before="60"/>
      </w:pPr>
      <w:r>
        <w:rPr>
          <w:rFonts w:ascii="Arial" w:cs="Arial" w:eastAsia="Arial" w:hAnsi="Arial"/>
          <w:color w:val="221E1F"/>
          <w:sz w:val="22"/>
          <w:szCs w:val="22"/>
        </w:rPr>
        <w:t xml:space="preserve">Communicate any relevant contextual information to BNB at the point of referral, subject to the individual's consent;</w:t>
      </w:r>
    </w:p>
    <w:p>
      <w:pPr>
        <w:pStyle w:val="ListParagraph"/>
        <w:numPr>
          <w:ilvl w:val="0"/>
          <w:numId w:val="2"/>
        </w:numPr>
        <w:spacing w:after="60" w:before="60"/>
      </w:pPr>
      <w:r>
        <w:rPr>
          <w:rFonts w:ascii="Arial" w:cs="Arial" w:eastAsia="Arial" w:hAnsi="Arial"/>
          <w:color w:val="221E1F"/>
          <w:sz w:val="22"/>
          <w:szCs w:val="22"/>
        </w:rPr>
        <w:t xml:space="preserve">Designate a Church liaison contact person for coordination with BNB;</w:t>
      </w:r>
    </w:p>
    <w:p>
      <w:pPr>
        <w:pStyle w:val="ListParagraph"/>
        <w:numPr>
          <w:ilvl w:val="0"/>
          <w:numId w:val="2"/>
        </w:numPr>
        <w:spacing w:after="60" w:before="60"/>
      </w:pPr>
      <w:r>
        <w:rPr>
          <w:rFonts w:ascii="Arial" w:cs="Arial" w:eastAsia="Arial" w:hAnsi="Arial"/>
          <w:color w:val="221E1F"/>
          <w:sz w:val="22"/>
          <w:szCs w:val="22"/>
        </w:rPr>
        <w:t xml:space="preserve">Notify BNB in reasonable time of any changes to outreach plans, schedules, or scope that may affect the partnership.</w:t>
      </w:r>
    </w:p>
    <w:p>
      <w:pPr>
        <w:spacing w:after="100" w:before="360"/>
      </w:pPr>
      <w:r>
        <w:rPr>
          <w:rFonts w:ascii="Arial" w:cs="Arial" w:eastAsia="Arial" w:hAnsi="Arial"/>
          <w:b/>
          <w:bCs/>
          <w:color w:val="F0562D"/>
          <w:sz w:val="24"/>
          <w:szCs w:val="24"/>
        </w:rPr>
        <w:t xml:space="preserve">ARTICLE 3.  Responsibilities of BNB</w:t>
      </w:r>
    </w:p>
    <w:p>
      <w:pPr>
        <w:spacing w:after="80" w:before="80"/>
      </w:pPr>
      <w:r>
        <w:rPr>
          <w:rFonts w:ascii="Arial" w:cs="Arial" w:eastAsia="Arial" w:hAnsi="Arial"/>
          <w:color w:val="221E1F"/>
          <w:sz w:val="22"/>
          <w:szCs w:val="22"/>
        </w:rPr>
        <w:t xml:space="preserve">In furtherance of this partnership, The BeaconPath Ghana agrees to:</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Receive and respond to referrals from the Church in a timely and professional manner;</w:t>
      </w:r>
    </w:p>
    <w:p>
      <w:pPr>
        <w:pStyle w:val="ListParagraph"/>
        <w:numPr>
          <w:ilvl w:val="0"/>
          <w:numId w:val="2"/>
        </w:numPr>
        <w:spacing w:after="60" w:before="60"/>
      </w:pPr>
      <w:r>
        <w:rPr>
          <w:rFonts w:ascii="Arial" w:cs="Arial" w:eastAsia="Arial" w:hAnsi="Arial"/>
          <w:color w:val="221E1F"/>
          <w:sz w:val="22"/>
          <w:szCs w:val="22"/>
        </w:rPr>
        <w:t xml:space="preserve">Conduct an initial assessment of each referred individual to determine the appropriate level and type of support;</w:t>
      </w:r>
    </w:p>
    <w:p>
      <w:pPr>
        <w:pStyle w:val="ListParagraph"/>
        <w:numPr>
          <w:ilvl w:val="0"/>
          <w:numId w:val="2"/>
        </w:numPr>
        <w:spacing w:after="60" w:before="60"/>
      </w:pPr>
      <w:r>
        <w:rPr>
          <w:rFonts w:ascii="Arial" w:cs="Arial" w:eastAsia="Arial" w:hAnsi="Arial"/>
          <w:color w:val="221E1F"/>
          <w:sz w:val="22"/>
          <w:szCs w:val="22"/>
        </w:rPr>
        <w:t xml:space="preserve">Provide the following services to referred individuals, subject to their consent and as appropriate to their circumstances:</w:t>
      </w:r>
    </w:p>
    <w:p>
      <w:pPr>
        <w:pStyle w:val="ListParagraph"/>
        <w:numPr>
          <w:ilvl w:val="0"/>
          <w:numId w:val="2"/>
        </w:numPr>
        <w:spacing w:after="40" w:before="40"/>
        <w:ind w:left="1080" w:hanging="360"/>
      </w:pPr>
      <w:r>
        <w:rPr>
          <w:rFonts w:ascii="Arial" w:cs="Arial" w:eastAsia="Arial" w:hAnsi="Arial"/>
          <w:color w:val="221E1F"/>
          <w:sz w:val="22"/>
          <w:szCs w:val="22"/>
        </w:rPr>
        <w:t xml:space="preserve">Counseling referrals and psychosocial support</w:t>
      </w:r>
    </w:p>
    <w:p>
      <w:pPr>
        <w:pStyle w:val="ListParagraph"/>
        <w:numPr>
          <w:ilvl w:val="0"/>
          <w:numId w:val="2"/>
        </w:numPr>
        <w:spacing w:after="40" w:before="40"/>
        <w:ind w:left="1080" w:hanging="360"/>
      </w:pPr>
      <w:r>
        <w:rPr>
          <w:rFonts w:ascii="Arial" w:cs="Arial" w:eastAsia="Arial" w:hAnsi="Arial"/>
          <w:color w:val="221E1F"/>
          <w:sz w:val="22"/>
          <w:szCs w:val="22"/>
        </w:rPr>
        <w:t xml:space="preserve">Skills training for economic empowerment and independence</w:t>
      </w:r>
    </w:p>
    <w:p>
      <w:pPr>
        <w:pStyle w:val="ListParagraph"/>
        <w:numPr>
          <w:ilvl w:val="0"/>
          <w:numId w:val="2"/>
        </w:numPr>
        <w:spacing w:after="40" w:before="40"/>
        <w:ind w:left="1080" w:hanging="360"/>
      </w:pPr>
      <w:r>
        <w:rPr>
          <w:rFonts w:ascii="Arial" w:cs="Arial" w:eastAsia="Arial" w:hAnsi="Arial"/>
          <w:color w:val="221E1F"/>
          <w:sz w:val="22"/>
          <w:szCs w:val="22"/>
        </w:rPr>
        <w:t xml:space="preserve">Legal advocacy support through BNB's existing professional partnerships</w:t>
      </w:r>
    </w:p>
    <w:p>
      <w:pPr>
        <w:pStyle w:val="ListParagraph"/>
        <w:numPr>
          <w:ilvl w:val="0"/>
          <w:numId w:val="2"/>
        </w:numPr>
        <w:spacing w:after="40" w:before="40"/>
        <w:ind w:left="1080" w:hanging="360"/>
      </w:pPr>
      <w:r>
        <w:rPr>
          <w:rFonts w:ascii="Arial" w:cs="Arial" w:eastAsia="Arial" w:hAnsi="Arial"/>
          <w:color w:val="221E1F"/>
          <w:sz w:val="22"/>
          <w:szCs w:val="22"/>
        </w:rPr>
        <w:t xml:space="preserve">Case management and community reintegration support</w:t>
      </w:r>
    </w:p>
    <w:p>
      <w:pPr>
        <w:spacing w:after="0" w:before="60"/>
      </w:pPr>
    </w:p>
    <w:p>
      <w:pPr>
        <w:pStyle w:val="ListParagraph"/>
        <w:numPr>
          <w:ilvl w:val="0"/>
          <w:numId w:val="2"/>
        </w:numPr>
        <w:spacing w:after="60" w:before="60"/>
      </w:pPr>
      <w:r>
        <w:rPr>
          <w:rFonts w:ascii="Arial" w:cs="Arial" w:eastAsia="Arial" w:hAnsi="Arial"/>
          <w:color w:val="221E1F"/>
          <w:sz w:val="22"/>
          <w:szCs w:val="22"/>
        </w:rPr>
        <w:t xml:space="preserve">Maintain strict confidentiality with respect to all individuals referred and all information shared by the Church under this MOU;</w:t>
      </w:r>
    </w:p>
    <w:p>
      <w:pPr>
        <w:pStyle w:val="ListParagraph"/>
        <w:numPr>
          <w:ilvl w:val="0"/>
          <w:numId w:val="2"/>
        </w:numPr>
        <w:spacing w:after="60" w:before="60"/>
      </w:pPr>
      <w:r>
        <w:rPr>
          <w:rFonts w:ascii="Arial" w:cs="Arial" w:eastAsia="Arial" w:hAnsi="Arial"/>
          <w:color w:val="221E1F"/>
          <w:sz w:val="22"/>
          <w:szCs w:val="22"/>
        </w:rPr>
        <w:t xml:space="preserve">Designate a BNB case coordinator as the primary point of contact for the Church;</w:t>
      </w:r>
    </w:p>
    <w:p>
      <w:pPr>
        <w:pStyle w:val="ListParagraph"/>
        <w:numPr>
          <w:ilvl w:val="0"/>
          <w:numId w:val="2"/>
        </w:numPr>
        <w:spacing w:after="60" w:before="60"/>
      </w:pPr>
      <w:r>
        <w:rPr>
          <w:rFonts w:ascii="Arial" w:cs="Arial" w:eastAsia="Arial" w:hAnsi="Arial"/>
          <w:color w:val="221E1F"/>
          <w:sz w:val="22"/>
          <w:szCs w:val="22"/>
        </w:rPr>
        <w:t xml:space="preserve">Provide the Church with periodic updates on the general progress of the partnership (without disclosing individually identifying information) upon request;</w:t>
      </w:r>
    </w:p>
    <w:p>
      <w:pPr>
        <w:pStyle w:val="ListParagraph"/>
        <w:numPr>
          <w:ilvl w:val="0"/>
          <w:numId w:val="2"/>
        </w:numPr>
        <w:spacing w:after="60" w:before="60"/>
      </w:pPr>
      <w:r>
        <w:rPr>
          <w:rFonts w:ascii="Arial" w:cs="Arial" w:eastAsia="Arial" w:hAnsi="Arial"/>
          <w:color w:val="221E1F"/>
          <w:sz w:val="22"/>
          <w:szCs w:val="22"/>
        </w:rPr>
        <w:t xml:space="preserve">Operate independently of the Church's congregation — BNB will not recruit volunteers, solicit funds, or conduct any activities within the Church's membership without the prior written consent of the Church.</w:t>
      </w:r>
    </w:p>
    <w:p>
      <w:pPr>
        <w:spacing w:after="100" w:before="360"/>
      </w:pPr>
      <w:r>
        <w:rPr>
          <w:rFonts w:ascii="Arial" w:cs="Arial" w:eastAsia="Arial" w:hAnsi="Arial"/>
          <w:b/>
          <w:bCs/>
          <w:color w:val="F0562D"/>
          <w:sz w:val="24"/>
          <w:szCs w:val="24"/>
        </w:rPr>
        <w:t xml:space="preserve">ARTICLE 4.  Volunteer and Congregation Policy</w:t>
      </w:r>
    </w:p>
    <w:p>
      <w:pPr>
        <w:spacing w:after="80" w:before="80"/>
      </w:pPr>
      <w:r>
        <w:rPr>
          <w:rFonts w:ascii="Arial" w:cs="Arial" w:eastAsia="Arial" w:hAnsi="Arial"/>
          <w:color w:val="221E1F"/>
          <w:sz w:val="22"/>
          <w:szCs w:val="22"/>
        </w:rPr>
        <w:t xml:space="preserve">The Parties acknowledge and agree that:</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The Church maintains a policy that does not permit external organisations to recruit volunteers from its congregation. BNB fully respects and will abide by this policy;</w:t>
      </w:r>
    </w:p>
    <w:p>
      <w:pPr>
        <w:pStyle w:val="ListParagraph"/>
        <w:numPr>
          <w:ilvl w:val="0"/>
          <w:numId w:val="2"/>
        </w:numPr>
        <w:spacing w:after="60" w:before="60"/>
      </w:pPr>
      <w:r>
        <w:rPr>
          <w:rFonts w:ascii="Arial" w:cs="Arial" w:eastAsia="Arial" w:hAnsi="Arial"/>
          <w:color w:val="221E1F"/>
          <w:sz w:val="22"/>
          <w:szCs w:val="22"/>
        </w:rPr>
        <w:t xml:space="preserve">BNB will not approach, solicit, or recruit any member of the Church's congregation for volunteer or any other service roles in connection with this partnership or otherwise, without the express prior written consent of the Church's leadership;</w:t>
      </w:r>
    </w:p>
    <w:p>
      <w:pPr>
        <w:pStyle w:val="ListParagraph"/>
        <w:numPr>
          <w:ilvl w:val="0"/>
          <w:numId w:val="2"/>
        </w:numPr>
        <w:spacing w:after="60" w:before="60"/>
      </w:pPr>
      <w:r>
        <w:rPr>
          <w:rFonts w:ascii="Arial" w:cs="Arial" w:eastAsia="Arial" w:hAnsi="Arial"/>
          <w:color w:val="221E1F"/>
          <w:sz w:val="22"/>
          <w:szCs w:val="22"/>
        </w:rPr>
        <w:t xml:space="preserve">Nothing in this MOU shall be construed as granting BNB any access to or authority over the Church's membership, resources, or internal programmes.</w:t>
      </w:r>
    </w:p>
    <w:p>
      <w:pPr>
        <w:spacing w:after="100" w:before="360"/>
      </w:pPr>
      <w:r>
        <w:rPr>
          <w:rFonts w:ascii="Arial" w:cs="Arial" w:eastAsia="Arial" w:hAnsi="Arial"/>
          <w:b/>
          <w:bCs/>
          <w:color w:val="F0562D"/>
          <w:sz w:val="24"/>
          <w:szCs w:val="24"/>
        </w:rPr>
        <w:t xml:space="preserve">ARTICLE 5.  Referral Process</w:t>
      </w:r>
    </w:p>
    <w:p>
      <w:pPr>
        <w:spacing w:after="80" w:before="80"/>
      </w:pPr>
      <w:r>
        <w:rPr>
          <w:rFonts w:ascii="Arial" w:cs="Arial" w:eastAsia="Arial" w:hAnsi="Arial"/>
          <w:color w:val="221E1F"/>
          <w:sz w:val="22"/>
          <w:szCs w:val="22"/>
        </w:rPr>
        <w:t xml:space="preserve">The Parties agree to implement the following referral process:</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The Church's designated liaison will contact BNB's case coordinator by telephone or in writing when an individual has been identified for referral;</w:t>
      </w:r>
    </w:p>
    <w:p>
      <w:pPr>
        <w:pStyle w:val="ListParagraph"/>
        <w:numPr>
          <w:ilvl w:val="0"/>
          <w:numId w:val="2"/>
        </w:numPr>
        <w:spacing w:after="60" w:before="60"/>
      </w:pPr>
      <w:r>
        <w:rPr>
          <w:rFonts w:ascii="Arial" w:cs="Arial" w:eastAsia="Arial" w:hAnsi="Arial"/>
          <w:color w:val="221E1F"/>
          <w:sz w:val="22"/>
          <w:szCs w:val="22"/>
        </w:rPr>
        <w:t xml:space="preserve">Basic referral information — including the individual's name, presenting need, and any relevant contextual information — will be shared only with the individual's consent;</w:t>
      </w:r>
    </w:p>
    <w:p>
      <w:pPr>
        <w:pStyle w:val="ListParagraph"/>
        <w:numPr>
          <w:ilvl w:val="0"/>
          <w:numId w:val="2"/>
        </w:numPr>
        <w:spacing w:after="60" w:before="60"/>
      </w:pPr>
      <w:r>
        <w:rPr>
          <w:rFonts w:ascii="Arial" w:cs="Arial" w:eastAsia="Arial" w:hAnsi="Arial"/>
          <w:color w:val="221E1F"/>
          <w:sz w:val="22"/>
          <w:szCs w:val="22"/>
        </w:rPr>
        <w:t xml:space="preserve">BNB will acknowledge receipt of the referral within two (2) working days and initiate contact with the referred individual within five (5) working days where possible;</w:t>
      </w:r>
    </w:p>
    <w:p>
      <w:pPr>
        <w:pStyle w:val="ListParagraph"/>
        <w:numPr>
          <w:ilvl w:val="0"/>
          <w:numId w:val="2"/>
        </w:numPr>
        <w:spacing w:after="60" w:before="60"/>
      </w:pPr>
      <w:r>
        <w:rPr>
          <w:rFonts w:ascii="Arial" w:cs="Arial" w:eastAsia="Arial" w:hAnsi="Arial"/>
          <w:color w:val="221E1F"/>
          <w:sz w:val="22"/>
          <w:szCs w:val="22"/>
        </w:rPr>
        <w:t xml:space="preserve">Both Parties will maintain a simple shared log of referrals made and received for the purpose of coordination and partnership review;</w:t>
      </w:r>
    </w:p>
    <w:p>
      <w:pPr>
        <w:pStyle w:val="ListParagraph"/>
        <w:numPr>
          <w:ilvl w:val="0"/>
          <w:numId w:val="2"/>
        </w:numPr>
        <w:spacing w:after="60" w:before="60"/>
      </w:pPr>
      <w:r>
        <w:rPr>
          <w:rFonts w:ascii="Arial" w:cs="Arial" w:eastAsia="Arial" w:hAnsi="Arial"/>
          <w:color w:val="221E1F"/>
          <w:sz w:val="22"/>
          <w:szCs w:val="22"/>
        </w:rPr>
        <w:t xml:space="preserve">The Parties will review and may refine the referral process by mutual agreement as the partnership develops.</w:t>
      </w:r>
    </w:p>
    <w:p>
      <w:pPr>
        <w:spacing w:after="100" w:before="360"/>
      </w:pPr>
      <w:r>
        <w:rPr>
          <w:rFonts w:ascii="Arial" w:cs="Arial" w:eastAsia="Arial" w:hAnsi="Arial"/>
          <w:b/>
          <w:bCs/>
          <w:color w:val="F0562D"/>
          <w:sz w:val="24"/>
          <w:szCs w:val="24"/>
        </w:rPr>
        <w:t xml:space="preserve">ARTICLE 6.  Confidentiality</w:t>
      </w:r>
    </w:p>
    <w:p>
      <w:pPr>
        <w:spacing w:after="80" w:before="80"/>
      </w:pPr>
      <w:r>
        <w:rPr>
          <w:rFonts w:ascii="Arial" w:cs="Arial" w:eastAsia="Arial" w:hAnsi="Arial"/>
          <w:color w:val="221E1F"/>
          <w:sz w:val="22"/>
          <w:szCs w:val="22"/>
        </w:rPr>
        <w:t xml:space="preserve">Each Party agrees to:</w:t>
      </w:r>
    </w:p>
    <w:p>
      <w:pPr>
        <w:spacing w:after="0" w:before="80"/>
      </w:pPr>
    </w:p>
    <w:p>
      <w:pPr>
        <w:pStyle w:val="ListParagraph"/>
        <w:numPr>
          <w:ilvl w:val="0"/>
          <w:numId w:val="2"/>
        </w:numPr>
        <w:spacing w:after="60" w:before="60"/>
      </w:pPr>
      <w:r>
        <w:rPr>
          <w:rFonts w:ascii="Arial" w:cs="Arial" w:eastAsia="Arial" w:hAnsi="Arial"/>
          <w:color w:val="221E1F"/>
          <w:sz w:val="22"/>
          <w:szCs w:val="22"/>
        </w:rPr>
        <w:t xml:space="preserve">Treat all personal information about individuals encountered through this partnership as strictly confidential;</w:t>
      </w:r>
    </w:p>
    <w:p>
      <w:pPr>
        <w:pStyle w:val="ListParagraph"/>
        <w:numPr>
          <w:ilvl w:val="0"/>
          <w:numId w:val="2"/>
        </w:numPr>
        <w:spacing w:after="60" w:before="60"/>
      </w:pPr>
      <w:r>
        <w:rPr>
          <w:rFonts w:ascii="Arial" w:cs="Arial" w:eastAsia="Arial" w:hAnsi="Arial"/>
          <w:color w:val="221E1F"/>
          <w:sz w:val="22"/>
          <w:szCs w:val="22"/>
        </w:rPr>
        <w:t xml:space="preserve">Not disclose any individually identifying information to third parties without the prior written consent of the individual concerned, except where required by law or where necessary to prevent serious harm;</w:t>
      </w:r>
    </w:p>
    <w:p>
      <w:pPr>
        <w:pStyle w:val="ListParagraph"/>
        <w:numPr>
          <w:ilvl w:val="0"/>
          <w:numId w:val="2"/>
        </w:numPr>
        <w:spacing w:after="60" w:before="60"/>
      </w:pPr>
      <w:r>
        <w:rPr>
          <w:rFonts w:ascii="Arial" w:cs="Arial" w:eastAsia="Arial" w:hAnsi="Arial"/>
          <w:color w:val="221E1F"/>
          <w:sz w:val="22"/>
          <w:szCs w:val="22"/>
        </w:rPr>
        <w:t xml:space="preserve">Ensure that all staff and volunteers handling personal information are aware of and bound by these confidentiality obligations;</w:t>
      </w:r>
    </w:p>
    <w:p>
      <w:pPr>
        <w:pStyle w:val="ListParagraph"/>
        <w:numPr>
          <w:ilvl w:val="0"/>
          <w:numId w:val="2"/>
        </w:numPr>
        <w:spacing w:after="60" w:before="60"/>
      </w:pPr>
      <w:r>
        <w:rPr>
          <w:rFonts w:ascii="Arial" w:cs="Arial" w:eastAsia="Arial" w:hAnsi="Arial"/>
          <w:color w:val="221E1F"/>
          <w:sz w:val="22"/>
          <w:szCs w:val="22"/>
        </w:rPr>
        <w:t xml:space="preserve">Maintain secure records of all referrals and case information in accordance with applicable data protection standards.</w:t>
      </w:r>
    </w:p>
    <w:p>
      <w:pPr>
        <w:spacing w:after="100" w:before="360"/>
      </w:pPr>
      <w:r>
        <w:rPr>
          <w:rFonts w:ascii="Arial" w:cs="Arial" w:eastAsia="Arial" w:hAnsi="Arial"/>
          <w:b/>
          <w:bCs/>
          <w:color w:val="F0562D"/>
          <w:sz w:val="24"/>
          <w:szCs w:val="24"/>
        </w:rPr>
        <w:t xml:space="preserve">ARTICLE 7.  Financial Arrangements</w:t>
      </w:r>
    </w:p>
    <w:p>
      <w:pPr>
        <w:spacing w:after="80" w:before="80"/>
      </w:pPr>
      <w:r>
        <w:rPr>
          <w:rFonts w:ascii="Arial" w:cs="Arial" w:eastAsia="Arial" w:hAnsi="Arial"/>
          <w:color w:val="221E1F"/>
          <w:sz w:val="22"/>
          <w:szCs w:val="22"/>
        </w:rPr>
        <w:t xml:space="preserve">This MOU does not create any financial obligation between the Parties. Each Party is responsible for its own costs in fulfilling its obligations under this MOU. Any future financial arrangements shall be agreed separately in writing and shall not form part of this MOU unless expressly incorporated by way of a signed amendment.</w:t>
      </w:r>
    </w:p>
    <w:p>
      <w:pPr>
        <w:spacing w:after="100" w:before="360"/>
      </w:pPr>
      <w:r>
        <w:rPr>
          <w:rFonts w:ascii="Arial" w:cs="Arial" w:eastAsia="Arial" w:hAnsi="Arial"/>
          <w:b/>
          <w:bCs/>
          <w:color w:val="F0562D"/>
          <w:sz w:val="24"/>
          <w:szCs w:val="24"/>
        </w:rPr>
        <w:t xml:space="preserve">ARTICLE 8.  Duration and Review</w:t>
      </w:r>
    </w:p>
    <w:p>
      <w:pPr>
        <w:spacing w:after="80" w:before="80"/>
      </w:pPr>
      <w:r>
        <w:rPr>
          <w:rFonts w:ascii="Arial" w:cs="Arial" w:eastAsia="Arial" w:hAnsi="Arial"/>
          <w:color w:val="221E1F"/>
          <w:sz w:val="22"/>
          <w:szCs w:val="22"/>
        </w:rPr>
        <w:t xml:space="preserve">This MOU shall come into effect on the date of signing by both Parties and shall remain in force for a period of twelve (12) months, unless earlier terminated in accordance with Article 9. The Parties agree to review the MOU at the six-month mark to assess the progress of the partnership and, if appropriate, to renew or extend the MOU by mutual written agreement.</w:t>
      </w:r>
    </w:p>
    <w:p>
      <w:pPr>
        <w:spacing w:after="100" w:before="360"/>
      </w:pPr>
      <w:r>
        <w:rPr>
          <w:rFonts w:ascii="Arial" w:cs="Arial" w:eastAsia="Arial" w:hAnsi="Arial"/>
          <w:b/>
          <w:bCs/>
          <w:color w:val="F0562D"/>
          <w:sz w:val="24"/>
          <w:szCs w:val="24"/>
        </w:rPr>
        <w:t xml:space="preserve">ARTICLE 9.  Termination</w:t>
      </w:r>
    </w:p>
    <w:p>
      <w:pPr>
        <w:spacing w:after="80" w:before="80"/>
      </w:pPr>
      <w:r>
        <w:rPr>
          <w:rFonts w:ascii="Arial" w:cs="Arial" w:eastAsia="Arial" w:hAnsi="Arial"/>
          <w:color w:val="221E1F"/>
          <w:sz w:val="22"/>
          <w:szCs w:val="22"/>
        </w:rPr>
        <w:t xml:space="preserve">Either Party may terminate this MOU by providing thirty (30) days written notice to the other Party. Termination shall not affect any obligations already in place with respect to individuals who have been referred and are receiving services at the time of termination. The Parties agree to manage any ongoing cases responsibly and collaboratively in the event of termination.</w:t>
      </w:r>
    </w:p>
    <w:p>
      <w:pPr>
        <w:spacing w:after="100" w:before="360"/>
      </w:pPr>
      <w:r>
        <w:rPr>
          <w:rFonts w:ascii="Arial" w:cs="Arial" w:eastAsia="Arial" w:hAnsi="Arial"/>
          <w:b/>
          <w:bCs/>
          <w:color w:val="F0562D"/>
          <w:sz w:val="24"/>
          <w:szCs w:val="24"/>
        </w:rPr>
        <w:t xml:space="preserve">ARTICLE 10.  Dispute Resolution</w:t>
      </w:r>
    </w:p>
    <w:p>
      <w:pPr>
        <w:spacing w:after="80" w:before="80"/>
      </w:pPr>
      <w:r>
        <w:rPr>
          <w:rFonts w:ascii="Arial" w:cs="Arial" w:eastAsia="Arial" w:hAnsi="Arial"/>
          <w:color w:val="221E1F"/>
          <w:sz w:val="22"/>
          <w:szCs w:val="22"/>
        </w:rPr>
        <w:t xml:space="preserve">In the event of any disagreement arising out of or in connection with this MOU, the Parties agree to seek resolution through good-faith dialogue and direct discussion in the first instance. If the matter cannot be resolved through dialogue within thirty (30) days, the Parties may agree to engage a mutually acceptable mediator. This MOU shall be governed by and construed in accordance with the laws of the Republic of Ghana.</w:t>
      </w:r>
    </w:p>
    <w:p>
      <w:pPr>
        <w:spacing w:after="100" w:before="360"/>
      </w:pPr>
      <w:r>
        <w:rPr>
          <w:rFonts w:ascii="Arial" w:cs="Arial" w:eastAsia="Arial" w:hAnsi="Arial"/>
          <w:b/>
          <w:bCs/>
          <w:color w:val="F0562D"/>
          <w:sz w:val="24"/>
          <w:szCs w:val="24"/>
        </w:rPr>
        <w:t xml:space="preserve">ARTICLE 11.  Amendments</w:t>
      </w:r>
    </w:p>
    <w:p>
      <w:pPr>
        <w:spacing w:after="80" w:before="80"/>
      </w:pPr>
      <w:r>
        <w:rPr>
          <w:rFonts w:ascii="Arial" w:cs="Arial" w:eastAsia="Arial" w:hAnsi="Arial"/>
          <w:color w:val="221E1F"/>
          <w:sz w:val="22"/>
          <w:szCs w:val="22"/>
        </w:rPr>
        <w:t xml:space="preserve">This MOU may be amended at any time by mutual written agreement of the Parties. Any amendment shall be signed by the authorised representatives of both Parties and attached to this MOU as a signed addendum.</w:t>
      </w:r>
    </w:p>
    <w:p>
      <w:pPr>
        <w:spacing w:after="100" w:before="360"/>
      </w:pPr>
      <w:r>
        <w:rPr>
          <w:rFonts w:ascii="Arial" w:cs="Arial" w:eastAsia="Arial" w:hAnsi="Arial"/>
          <w:b/>
          <w:bCs/>
          <w:color w:val="F0562D"/>
          <w:sz w:val="24"/>
          <w:szCs w:val="24"/>
        </w:rPr>
        <w:t xml:space="preserve">ARTICLE 12.  General Provisions</w:t>
      </w:r>
    </w:p>
    <w:p>
      <w:pPr>
        <w:pStyle w:val="ListParagraph"/>
        <w:numPr>
          <w:ilvl w:val="0"/>
          <w:numId w:val="2"/>
        </w:numPr>
        <w:spacing w:after="60" w:before="60"/>
      </w:pPr>
      <w:r>
        <w:rPr>
          <w:rFonts w:ascii="Arial" w:cs="Arial" w:eastAsia="Arial" w:hAnsi="Arial"/>
          <w:color w:val="221E1F"/>
          <w:sz w:val="22"/>
          <w:szCs w:val="22"/>
        </w:rPr>
        <w:t xml:space="preserve">This MOU constitutes the entire understanding between the Parties with respect to its subject matter and supersedes any prior discussions or agreements relating thereto.</w:t>
      </w:r>
    </w:p>
    <w:p>
      <w:pPr>
        <w:pStyle w:val="ListParagraph"/>
        <w:numPr>
          <w:ilvl w:val="0"/>
          <w:numId w:val="2"/>
        </w:numPr>
        <w:spacing w:after="60" w:before="60"/>
      </w:pPr>
      <w:r>
        <w:rPr>
          <w:rFonts w:ascii="Arial" w:cs="Arial" w:eastAsia="Arial" w:hAnsi="Arial"/>
          <w:color w:val="221E1F"/>
          <w:sz w:val="22"/>
          <w:szCs w:val="22"/>
        </w:rPr>
        <w:t xml:space="preserve">This MOU does not constitute a legally binding contract or create any employment, agency, or joint venture relationship between the Parties.</w:t>
      </w:r>
    </w:p>
    <w:p>
      <w:pPr>
        <w:pStyle w:val="ListParagraph"/>
        <w:numPr>
          <w:ilvl w:val="0"/>
          <w:numId w:val="2"/>
        </w:numPr>
        <w:spacing w:after="60" w:before="60"/>
      </w:pPr>
      <w:r>
        <w:rPr>
          <w:rFonts w:ascii="Arial" w:cs="Arial" w:eastAsia="Arial" w:hAnsi="Arial"/>
          <w:color w:val="221E1F"/>
          <w:sz w:val="22"/>
          <w:szCs w:val="22"/>
        </w:rPr>
        <w:t xml:space="preserve">Each Party represents that the person signing this MOU on its behalf has the authority to do so.</w:t>
      </w:r>
    </w:p>
    <w:p>
      <w:pPr>
        <w:pStyle w:val="ListParagraph"/>
        <w:numPr>
          <w:ilvl w:val="0"/>
          <w:numId w:val="2"/>
        </w:numPr>
        <w:spacing w:after="60" w:before="60"/>
      </w:pPr>
      <w:r>
        <w:rPr>
          <w:rFonts w:ascii="Arial" w:cs="Arial" w:eastAsia="Arial" w:hAnsi="Arial"/>
          <w:color w:val="221E1F"/>
          <w:sz w:val="22"/>
          <w:szCs w:val="22"/>
        </w:rPr>
        <w:t xml:space="preserve">This MOU may be executed in counterparts, each of which shall be deemed an original.</w:t>
      </w:r>
    </w:p>
    <w:p>
      <w:pPr>
        <w:spacing w:after="0" w:before="300"/>
      </w:pPr>
    </w:p>
    <w:p>
      <w:pPr>
        <w:pBdr>
          <w:bottom w:val="single" w:color="CCCCCC" w:sz="4" w:space="1"/>
        </w:pBdr>
        <w:spacing w:after="120" w:before="0"/>
      </w:pPr>
    </w:p>
    <w:p>
      <w:pPr>
        <w:spacing w:after="60" w:before="160"/>
        <w:jc w:val="center"/>
      </w:pPr>
      <w:r>
        <w:rPr>
          <w:rFonts w:ascii="Arial" w:cs="Arial" w:eastAsia="Arial" w:hAnsi="Arial"/>
          <w:b/>
          <w:bCs/>
          <w:color w:val="F0562D"/>
          <w:sz w:val="24"/>
          <w:szCs w:val="24"/>
        </w:rPr>
        <w:t xml:space="preserve">EXECUTION</w:t>
      </w:r>
    </w:p>
    <w:p>
      <w:pPr>
        <w:spacing w:after="200" w:before="0"/>
        <w:jc w:val="center"/>
      </w:pPr>
      <w:r>
        <w:rPr>
          <w:rFonts w:ascii="Arial" w:cs="Arial" w:eastAsia="Arial" w:hAnsi="Arial"/>
          <w:i/>
          <w:iCs/>
          <w:color w:val="221E1F"/>
          <w:sz w:val="21"/>
          <w:szCs w:val="21"/>
        </w:rPr>
        <w:t xml:space="preserve">In witness whereof, the authorised representatives of the Parties have signed this Memorandum of Understanding on the dates indicated below.</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4500"/>
        <w:gridCol w:w="720"/>
        <w:gridCol w:w="4500"/>
      </w:tblGrid>
      <w:tr>
        <w:tc>
          <w:tcPr>
            <w:tcW w:type="dxa" w:w="4500"/>
            <w:tcBorders>
              <w:top w:val="none" w:color="FFFFFF" w:sz="0"/>
              <w:left w:val="none" w:color="FFFFFF" w:sz="0"/>
              <w:bottom w:val="none" w:color="FFFFFF" w:sz="0"/>
              <w:right w:val="none" w:color="FFFFFF" w:sz="0"/>
            </w:tcBorders>
          </w:tcPr>
          <w:p>
            <w:r>
              <w:rPr>
                <w:rFonts w:ascii="Arial" w:cs="Arial" w:eastAsia="Arial" w:hAnsi="Arial"/>
                <w:b/>
                <w:bCs/>
                <w:color w:val="F0562D"/>
                <w:sz w:val="20"/>
                <w:szCs w:val="20"/>
              </w:rPr>
              <w:t xml:space="preserve">FOR THE BEACONPATH GHANA (BPG)</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r>
              <w:rPr>
                <w:rFonts w:ascii="Arial" w:cs="Arial" w:eastAsia="Arial" w:hAnsi="Arial"/>
                <w:b/>
                <w:bCs/>
                <w:color w:val="F0562D"/>
                <w:sz w:val="20"/>
                <w:szCs w:val="20"/>
              </w:rPr>
              <w:t xml:space="preserve">FOR AGAPE HOUSE NEW TESTAMENT CHURCH</w:t>
            </w:r>
          </w:p>
        </w:tc>
      </w:tr>
      <w:tr>
        <w:tc>
          <w:tcPr>
            <w:tcW w:type="dxa" w:w="4500"/>
            <w:tcBorders>
              <w:top w:val="none" w:color="FFFFFF" w:sz="0"/>
              <w:left w:val="none" w:color="FFFFFF" w:sz="0"/>
              <w:bottom w:val="none" w:color="FFFFFF" w:sz="0"/>
              <w:right w:val="none" w:color="FFFFFF" w:sz="0"/>
            </w:tcBorders>
            <w:tcMar>
              <w:top w:type="dxa" w:w="120"/>
            </w:tcMar>
          </w:tcPr>
          <w:p>
            <w:r>
              <w:rPr>
                <w:rFonts w:ascii="Arial" w:cs="Arial" w:eastAsia="Arial" w:hAnsi="Arial"/>
                <w:i/>
                <w:iCs/>
                <w:color w:val="221E1F"/>
                <w:sz w:val="19"/>
                <w:szCs w:val="19"/>
              </w:rPr>
              <w:t xml:space="preserve">Signatory 1 — Founder &amp; Executive Director (USA)</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120"/>
            </w:tcMar>
          </w:tcPr>
          <w:p/>
        </w:tc>
      </w:tr>
      <w:tr>
        <w:tc>
          <w:tcPr>
            <w:tcW w:type="dxa" w:w="4500"/>
            <w:tcBorders>
              <w:top w:val="none" w:color="FFFFFF" w:sz="0"/>
              <w:left w:val="none" w:color="FFFFFF" w:sz="0"/>
              <w:bottom w:val="none" w:color="FFFFFF" w:sz="0"/>
              <w:right w:val="none" w:color="FFFFFF" w:sz="0"/>
            </w:tcBorders>
            <w:tcMar>
              <w:top w:type="dxa" w:w="360"/>
              <w:bottom w:type="dxa" w:w="0"/>
            </w:tcMar>
          </w:tcPr>
          <w:p>
            <w:pPr>
              <w:pBdr>
                <w:bottom w:val="single" w:color="221E1F" w:sz="6" w:space="1"/>
              </w:pBdr>
            </w:pPr>
            <w:r>
              <w:rPr>
                <w:sz w:val="22"/>
                <w:szCs w:val="22"/>
              </w:rPr>
              <w:t xml:space="preserve"> </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360"/>
              <w:bottom w:type="dxa" w:w="0"/>
            </w:tcMar>
          </w:tcPr>
          <w:p>
            <w:pPr>
              <w:pBdr>
                <w:bottom w:val="single" w:color="221E1F" w:sz="6" w:space="1"/>
              </w:pBdr>
            </w:pPr>
            <w:r>
              <w:rPr>
                <w:sz w:val="22"/>
                <w:szCs w:val="22"/>
              </w:rPr>
              <w:t xml:space="preserve"> </w:t>
            </w:r>
          </w:p>
        </w:tc>
      </w:tr>
      <w:tr>
        <w:tc>
          <w:tcPr>
            <w:tcW w:type="dxa" w:w="4500"/>
            <w:tcBorders>
              <w:top w:val="none" w:color="FFFFFF" w:sz="0"/>
              <w:left w:val="none" w:color="FFFFFF" w:sz="0"/>
              <w:bottom w:val="none" w:color="FFFFFF" w:sz="0"/>
              <w:right w:val="none" w:color="FFFFFF" w:sz="0"/>
            </w:tcBorders>
            <w:tcMar>
              <w:top w:type="dxa" w:w="80"/>
            </w:tcMar>
          </w:tcPr>
          <w:p>
            <w:r>
              <w:rPr>
                <w:rFonts w:ascii="Arial" w:cs="Arial" w:eastAsia="Arial" w:hAnsi="Arial"/>
                <w:color w:val="221E1F"/>
                <w:sz w:val="21"/>
                <w:szCs w:val="21"/>
              </w:rPr>
              <w:t xml:space="preserve">Name: Enam Egyir</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80"/>
            </w:tcMar>
          </w:tcPr>
          <w:p>
            <w:r>
              <w:rPr>
                <w:rFonts w:ascii="Arial" w:cs="Arial" w:eastAsia="Arial" w:hAnsi="Arial"/>
                <w:color w:val="221E1F"/>
                <w:sz w:val="21"/>
                <w:szCs w:val="21"/>
              </w:rPr>
              <w:t xml:space="preserve">Name: Pastor Terry _______________</w:t>
            </w:r>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221E1F"/>
                <w:sz w:val="21"/>
                <w:szCs w:val="21"/>
              </w:rPr>
              <w:t xml:space="preserve">Title: Founder &amp; Executive Director</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221E1F"/>
                <w:sz w:val="21"/>
                <w:szCs w:val="21"/>
              </w:rPr>
              <w:t xml:space="preserve">Title: Senior Pastor</w:t>
            </w:r>
          </w:p>
        </w:tc>
      </w:tr>
      <w:tr>
        <w:tc>
          <w:tcPr>
            <w:tcW w:type="dxa" w:w="4500"/>
            <w:tcBorders>
              <w:top w:val="none" w:color="FFFFFF" w:sz="0"/>
              <w:left w:val="none" w:color="FFFFFF" w:sz="0"/>
              <w:bottom w:val="none" w:color="FFFFFF" w:sz="0"/>
              <w:right w:val="none" w:color="FFFFFF" w:sz="0"/>
            </w:tcBorders>
            <w:tcMar>
              <w:top w:type="dxa" w:w="80"/>
            </w:tcMar>
          </w:tcPr>
          <w:p>
            <w:pPr>
              <w:pBdr>
                <w:bottom w:val="single" w:color="221E1F" w:sz="6" w:space="1"/>
              </w:pBdr>
            </w:pPr>
            <w:r>
              <w:rPr>
                <w:rFonts w:ascii="Arial" w:cs="Arial" w:eastAsia="Arial" w:hAnsi="Arial"/>
                <w:color w:val="221E1F"/>
                <w:sz w:val="21"/>
                <w:szCs w:val="21"/>
              </w:rPr>
              <w:t xml:space="preserve">Date: _______________________</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80"/>
            </w:tcMar>
          </w:tcPr>
          <w:p>
            <w:pPr>
              <w:pBdr>
                <w:bottom w:val="single" w:color="221E1F" w:sz="6" w:space="1"/>
              </w:pBdr>
            </w:pPr>
            <w:r>
              <w:rPr>
                <w:rFonts w:ascii="Arial" w:cs="Arial" w:eastAsia="Arial" w:hAnsi="Arial"/>
                <w:color w:val="221E1F"/>
                <w:sz w:val="21"/>
                <w:szCs w:val="21"/>
              </w:rPr>
              <w:t xml:space="preserve">Date: _______________________</w:t>
            </w:r>
          </w:p>
        </w:tc>
      </w:tr>
      <w:tr>
        <w:tc>
          <w:tcPr>
            <w:tcW w:type="dxa" w:w="4500"/>
            <w:tcBorders>
              <w:top w:val="none" w:color="FFFFFF" w:sz="0"/>
              <w:left w:val="none" w:color="FFFFFF" w:sz="0"/>
              <w:bottom w:val="none" w:color="FFFFFF" w:sz="0"/>
              <w:right w:val="none" w:color="FFFFFF" w:sz="0"/>
            </w:tcBorders>
            <w:tcMar>
              <w:top w:type="dxa" w:w="280"/>
            </w:tcMar>
          </w:tcPr>
          <w:p>
            <w:r>
              <w:rPr>
                <w:rFonts w:ascii="Arial" w:cs="Arial" w:eastAsia="Arial" w:hAnsi="Arial"/>
                <w:i/>
                <w:iCs/>
                <w:color w:val="221E1F"/>
                <w:sz w:val="19"/>
                <w:szCs w:val="19"/>
              </w:rPr>
              <w:t xml:space="preserve">Signatory 2 — Ghana Field Representative</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tc>
      </w:tr>
      <w:tr>
        <w:tc>
          <w:tcPr>
            <w:tcW w:type="dxa" w:w="4500"/>
            <w:tcBorders>
              <w:top w:val="none" w:color="FFFFFF" w:sz="0"/>
              <w:left w:val="none" w:color="FFFFFF" w:sz="0"/>
              <w:bottom w:val="none" w:color="FFFFFF" w:sz="0"/>
              <w:right w:val="none" w:color="FFFFFF" w:sz="0"/>
            </w:tcBorders>
            <w:tcMar>
              <w:top w:type="dxa" w:w="360"/>
              <w:bottom w:type="dxa" w:w="0"/>
            </w:tcMar>
          </w:tcPr>
          <w:p>
            <w:pPr>
              <w:pBdr>
                <w:bottom w:val="single" w:color="221E1F" w:sz="6" w:space="1"/>
              </w:pBdr>
            </w:pPr>
            <w:r>
              <w:rPr>
                <w:sz w:val="22"/>
                <w:szCs w:val="22"/>
              </w:rPr>
              <w:t xml:space="preserve"> </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tc>
      </w:tr>
      <w:tr>
        <w:tc>
          <w:tcPr>
            <w:tcW w:type="dxa" w:w="4500"/>
            <w:tcBorders>
              <w:top w:val="none" w:color="FFFFFF" w:sz="0"/>
              <w:left w:val="none" w:color="FFFFFF" w:sz="0"/>
              <w:bottom w:val="none" w:color="FFFFFF" w:sz="0"/>
              <w:right w:val="none" w:color="FFFFFF" w:sz="0"/>
            </w:tcBorders>
            <w:tcMar>
              <w:top w:type="dxa" w:w="80"/>
            </w:tcMar>
          </w:tcPr>
          <w:p>
            <w:r>
              <w:rPr>
                <w:rFonts w:ascii="Arial" w:cs="Arial" w:eastAsia="Arial" w:hAnsi="Arial"/>
                <w:color w:val="221E1F"/>
                <w:sz w:val="21"/>
                <w:szCs w:val="21"/>
              </w:rPr>
              <w:t xml:space="preserve">Name: Jerry _______________</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221E1F"/>
                <w:sz w:val="21"/>
                <w:szCs w:val="21"/>
              </w:rPr>
              <w:t xml:space="preserve">Title: Ghana Field Representative, BPG</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tc>
      </w:tr>
      <w:tr>
        <w:tc>
          <w:tcPr>
            <w:tcW w:type="dxa" w:w="4500"/>
            <w:tcBorders>
              <w:top w:val="none" w:color="FFFFFF" w:sz="0"/>
              <w:left w:val="none" w:color="FFFFFF" w:sz="0"/>
              <w:bottom w:val="none" w:color="FFFFFF" w:sz="0"/>
              <w:right w:val="none" w:color="FFFFFF" w:sz="0"/>
            </w:tcBorders>
            <w:tcMar>
              <w:top w:type="dxa" w:w="80"/>
            </w:tcMar>
          </w:tcPr>
          <w:p>
            <w:pPr>
              <w:pBdr>
                <w:bottom w:val="single" w:color="221E1F" w:sz="6" w:space="1"/>
              </w:pBdr>
            </w:pPr>
            <w:r>
              <w:rPr>
                <w:rFonts w:ascii="Arial" w:cs="Arial" w:eastAsia="Arial" w:hAnsi="Arial"/>
                <w:color w:val="221E1F"/>
                <w:sz w:val="21"/>
                <w:szCs w:val="21"/>
              </w:rPr>
              <w:t xml:space="preserve">Date: _______________________</w:t>
            </w:r>
          </w:p>
        </w:tc>
        <w:tc>
          <w:tcPr>
            <w:tcW w:type="dxa" w:w="72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tc>
      </w:tr>
    </w:tbl>
    <w:p>
      <w:pPr>
        <w:spacing w:after="0" w:before="200"/>
      </w:pPr>
    </w:p>
    <w:p>
      <w:pPr>
        <w:spacing w:after="40" w:before="0"/>
        <w:jc w:val="center"/>
      </w:pPr>
      <w:r>
        <w:rPr>
          <w:rFonts w:ascii="Arial" w:cs="Arial" w:eastAsia="Arial" w:hAnsi="Arial"/>
          <w:color w:val="888888"/>
          <w:sz w:val="18"/>
          <w:szCs w:val="18"/>
        </w:rPr>
        <w:t xml:space="preserve">The BeaconPath Ghana  |  ename@beaconnewbeginnings.org  |  011233551710100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2026-04-11T03:44:11.825Z</dcterms:created>
  <dcterms:modified xsi:type="dcterms:W3CDTF">2026-04-11T03:44:11.827Z</dcterms:modified>
</cp:coreProperties>
</file>

<file path=docProps/custom.xml><?xml version="1.0" encoding="utf-8"?>
<Properties xmlns="http://schemas.openxmlformats.org/officeDocument/2006/custom-properties" xmlns:vt="http://schemas.openxmlformats.org/officeDocument/2006/docPropsVTypes"/>
</file>