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F0562D"/>
          <w:sz w:val="36"/>
          <w:szCs w:val="36"/>
        </w:rPr>
        <w:t xml:space="preserve">BEACON OF NEW BEGINNINGS</w:t>
      </w:r>
    </w:p>
    <w:p>
      <w:pPr>
        <w:spacing w:after="60" w:before="0"/>
        <w:jc w:val="center"/>
      </w:pPr>
      <w:r>
        <w:rPr>
          <w:rFonts w:ascii="Arial" w:cs="Arial" w:eastAsia="Arial" w:hAnsi="Arial"/>
          <w:i/>
          <w:iCs/>
          <w:color w:val="221E1F"/>
          <w:sz w:val="20"/>
          <w:szCs w:val="20"/>
        </w:rPr>
        <w:t xml:space="preserve">Empowering Communities. Restoring Dignity. Building Futures.</w:t>
      </w:r>
    </w:p>
    <w:p>
      <w:pPr>
        <w:spacing w:after="300" w:before="0"/>
        <w:jc w:val="center"/>
      </w:pPr>
      <w:r>
        <w:rPr>
          <w:rFonts w:ascii="Arial" w:cs="Arial" w:eastAsia="Arial" w:hAnsi="Arial"/>
          <w:color w:val="777777"/>
          <w:sz w:val="18"/>
          <w:szCs w:val="18"/>
        </w:rPr>
        <w:t xml:space="preserve">ename@beaconnewbeginnings.org  |  011233551710100</w:t>
      </w:r>
    </w:p>
    <w:p>
      <w:pPr>
        <w:spacing w:after="60" w:before="0"/>
        <w:jc w:val="center"/>
      </w:pPr>
      <w:r>
        <w:rPr>
          <w:rFonts w:ascii="Arial" w:cs="Arial" w:eastAsia="Arial" w:hAnsi="Arial"/>
          <w:b/>
          <w:bCs/>
          <w:color w:val="F0562D"/>
          <w:sz w:val="32"/>
          <w:szCs w:val="32"/>
        </w:rPr>
        <w:t xml:space="preserve">MEMORANDUM OF UNDERSTANDING</w:t>
      </w:r>
    </w:p>
    <w:p>
      <w:pPr>
        <w:spacing w:after="60" w:before="0"/>
        <w:jc w:val="center"/>
      </w:pPr>
      <w:r>
        <w:rPr>
          <w:rFonts w:ascii="Arial" w:cs="Arial" w:eastAsia="Arial" w:hAnsi="Arial"/>
          <w:i/>
          <w:iCs/>
          <w:color w:val="221E1F"/>
          <w:sz w:val="22"/>
          <w:szCs w:val="22"/>
        </w:rPr>
        <w:t xml:space="preserve">Beacon of New Beginnings &amp; The Brain and Sleep Medical Centre Ltd</w:t>
      </w:r>
    </w:p>
    <w:p>
      <w:pPr>
        <w:spacing w:after="300" w:before="0"/>
        <w:jc w:val="center"/>
      </w:pPr>
      <w:r>
        <w:rPr>
          <w:rFonts w:ascii="Arial" w:cs="Arial" w:eastAsia="Arial" w:hAnsi="Arial"/>
          <w:i/>
          <w:iCs/>
          <w:color w:val="777777"/>
          <w:sz w:val="20"/>
          <w:szCs w:val="20"/>
        </w:rPr>
        <w:t xml:space="preserve">(Revised — Incorporating Brain and Sleep Response of 8th April, 2026)</w:t>
      </w:r>
    </w:p>
    <w:p>
      <w:pPr>
        <w:pBdr>
          <w:bottom w:val="single" w:color="F0562D" w:sz="4" w:space="4"/>
        </w:pBdr>
        <w:spacing w:after="120" w:before="360"/>
      </w:pPr>
      <w:r>
        <w:rPr>
          <w:rFonts w:ascii="Arial" w:cs="Arial" w:eastAsia="Arial" w:hAnsi="Arial"/>
          <w:b/>
          <w:bCs/>
          <w:color w:val="F0562D"/>
          <w:sz w:val="28"/>
          <w:szCs w:val="28"/>
        </w:rPr>
        <w:t xml:space="preserve">PARTIES</w:t>
      </w:r>
    </w:p>
    <w:p>
      <w:pPr>
        <w:spacing w:after="60" w:before="60"/>
      </w:pPr>
      <w:r>
        <w:rPr>
          <w:rFonts w:ascii="Arial" w:cs="Arial" w:eastAsia="Arial" w:hAnsi="Arial"/>
          <w:color w:val="221E1F"/>
          <w:sz w:val="22"/>
          <w:szCs w:val="22"/>
        </w:rPr>
        <w:t xml:space="preserve">This Memorandum of Understanding ("MOU") is entered into as of ________________, 2026, by and between:</w:t>
      </w:r>
    </w:p>
    <w:p>
      <w:pPr>
        <w:spacing w:after="60" w:before="60"/>
      </w:pPr>
      <w:r>
        <w:t xml:space="preserve"/>
      </w:r>
    </w:p>
    <w:p>
      <w:pPr>
        <w:spacing w:after="60" w:before="60"/>
      </w:pPr>
      <w:r>
        <w:rPr>
          <w:rFonts w:ascii="Arial" w:cs="Arial" w:eastAsia="Arial" w:hAnsi="Arial"/>
          <w:b/>
          <w:bCs/>
          <w:color w:val="221E1F"/>
          <w:sz w:val="22"/>
          <w:szCs w:val="22"/>
        </w:rPr>
        <w:t xml:space="preserve">Beacon of New Beginnings ("BNB")</w:t>
      </w:r>
    </w:p>
    <w:p>
      <w:pPr>
        <w:spacing w:after="60" w:before="60"/>
      </w:pPr>
      <w:r>
        <w:rPr>
          <w:rFonts w:ascii="Arial" w:cs="Arial" w:eastAsia="Arial" w:hAnsi="Arial"/>
          <w:color w:val="221E1F"/>
          <w:sz w:val="22"/>
          <w:szCs w:val="22"/>
        </w:rPr>
        <w:t xml:space="preserve">A nonprofit organization based in Accra, Ghana, providing case management, counselling referrals, skills training, housing stability support, legal resource navigation, and community reintegration services.</w:t>
      </w:r>
    </w:p>
    <w:p>
      <w:pPr>
        <w:spacing w:after="60" w:before="60"/>
      </w:pPr>
      <w:r>
        <w:rPr>
          <w:rFonts w:ascii="Arial" w:cs="Arial" w:eastAsia="Arial" w:hAnsi="Arial"/>
          <w:color w:val="221E1F"/>
          <w:sz w:val="22"/>
          <w:szCs w:val="22"/>
        </w:rPr>
        <w:t xml:space="preserve">Executive Director: Enam Egyir</w:t>
      </w:r>
    </w:p>
    <w:p>
      <w:pPr>
        <w:spacing w:after="60" w:before="60"/>
      </w:pPr>
      <w:r>
        <w:rPr>
          <w:rFonts w:ascii="Arial" w:cs="Arial" w:eastAsia="Arial" w:hAnsi="Arial"/>
          <w:color w:val="221E1F"/>
          <w:sz w:val="22"/>
          <w:szCs w:val="22"/>
        </w:rPr>
        <w:t xml:space="preserve">Contact: ename@beaconnewbeginnings.org  |  011233551710100</w:t>
      </w:r>
    </w:p>
    <w:p>
      <w:pPr>
        <w:spacing w:after="60" w:before="60"/>
      </w:pPr>
      <w:r>
        <w:t xml:space="preserve"/>
      </w:r>
    </w:p>
    <w:p>
      <w:pPr>
        <w:spacing w:after="60" w:before="60"/>
      </w:pPr>
      <w:r>
        <w:rPr>
          <w:rFonts w:ascii="Arial" w:cs="Arial" w:eastAsia="Arial" w:hAnsi="Arial"/>
          <w:b/>
          <w:bCs/>
          <w:color w:val="221E1F"/>
          <w:sz w:val="22"/>
          <w:szCs w:val="22"/>
        </w:rPr>
        <w:t xml:space="preserve">AND</w:t>
      </w:r>
    </w:p>
    <w:p>
      <w:pPr>
        <w:spacing w:after="60" w:before="60"/>
      </w:pPr>
      <w:r>
        <w:t xml:space="preserve"/>
      </w:r>
    </w:p>
    <w:p>
      <w:pPr>
        <w:spacing w:after="60" w:before="60"/>
      </w:pPr>
      <w:r>
        <w:rPr>
          <w:rFonts w:ascii="Arial" w:cs="Arial" w:eastAsia="Arial" w:hAnsi="Arial"/>
          <w:b/>
          <w:bCs/>
          <w:color w:val="221E1F"/>
          <w:sz w:val="22"/>
          <w:szCs w:val="22"/>
        </w:rPr>
        <w:t xml:space="preserve">The Brain and Sleep Medical Centre Ltd ("The Centre")</w:t>
      </w:r>
    </w:p>
    <w:p>
      <w:pPr>
        <w:spacing w:after="60" w:before="60"/>
      </w:pPr>
      <w:r>
        <w:rPr>
          <w:rFonts w:ascii="Arial" w:cs="Arial" w:eastAsia="Arial" w:hAnsi="Arial"/>
          <w:color w:val="221E1F"/>
          <w:sz w:val="22"/>
          <w:szCs w:val="22"/>
        </w:rPr>
        <w:t xml:space="preserve">A private specialist medical facility providing mental health and sleep medicine services, based in Abokobi, Accra, Ghana. Ghana's leader in Private Mental Health and Sleep Medicine.</w:t>
      </w:r>
    </w:p>
    <w:p>
      <w:pPr>
        <w:spacing w:after="60" w:before="60"/>
      </w:pPr>
      <w:r>
        <w:rPr>
          <w:rFonts w:ascii="Arial" w:cs="Arial" w:eastAsia="Arial" w:hAnsi="Arial"/>
          <w:color w:val="221E1F"/>
          <w:sz w:val="22"/>
          <w:szCs w:val="22"/>
        </w:rPr>
        <w:t xml:space="preserve">Contact Person: Patience Asamoah, General Manager</w:t>
      </w:r>
    </w:p>
    <w:p>
      <w:pPr>
        <w:spacing w:after="60" w:before="60"/>
      </w:pPr>
      <w:r>
        <w:rPr>
          <w:rFonts w:ascii="Arial" w:cs="Arial" w:eastAsia="Arial" w:hAnsi="Arial"/>
          <w:color w:val="221E1F"/>
          <w:sz w:val="22"/>
          <w:szCs w:val="22"/>
        </w:rPr>
        <w:t xml:space="preserve">Email: finance@thebraincentregh.com  |  ceo@thebraincentregh.com</w:t>
      </w:r>
    </w:p>
    <w:p>
      <w:pPr>
        <w:spacing w:after="60" w:before="60"/>
      </w:pPr>
      <w:r>
        <w:rPr>
          <w:rFonts w:ascii="Arial" w:cs="Arial" w:eastAsia="Arial" w:hAnsi="Arial"/>
          <w:color w:val="221E1F"/>
          <w:sz w:val="22"/>
          <w:szCs w:val="22"/>
        </w:rPr>
        <w:t xml:space="preserve">Phone: 050 330 8191  |  033 209 5326  |  033 209 5330</w:t>
      </w:r>
    </w:p>
    <w:p>
      <w:pPr>
        <w:spacing w:after="60" w:before="60"/>
      </w:pPr>
      <w:r>
        <w:rPr>
          <w:rFonts w:ascii="Arial" w:cs="Arial" w:eastAsia="Arial" w:hAnsi="Arial"/>
          <w:color w:val="221E1F"/>
          <w:sz w:val="22"/>
          <w:szCs w:val="22"/>
        </w:rPr>
        <w:t xml:space="preserve">Website: www.thebraincentregh.com</w:t>
      </w:r>
    </w:p>
    <w:p>
      <w:pPr>
        <w:pBdr>
          <w:bottom w:val="single" w:color="F0562D" w:sz="4" w:space="4"/>
        </w:pBdr>
        <w:spacing w:after="120" w:before="360"/>
      </w:pPr>
      <w:r>
        <w:rPr>
          <w:rFonts w:ascii="Arial" w:cs="Arial" w:eastAsia="Arial" w:hAnsi="Arial"/>
          <w:b/>
          <w:bCs/>
          <w:color w:val="F0562D"/>
          <w:sz w:val="28"/>
          <w:szCs w:val="28"/>
        </w:rPr>
        <w:t xml:space="preserve">PURPOSE</w:t>
      </w:r>
    </w:p>
    <w:p>
      <w:pPr>
        <w:spacing w:after="60" w:before="60"/>
      </w:pPr>
      <w:r>
        <w:rPr>
          <w:rFonts w:ascii="Arial" w:cs="Arial" w:eastAsia="Arial" w:hAnsi="Arial"/>
          <w:color w:val="221E1F"/>
          <w:sz w:val="22"/>
          <w:szCs w:val="22"/>
        </w:rPr>
        <w:t xml:space="preserve">This MOU establishes a formal framework for a referral and collaboration partnership between BNB and The Brain and Sleep Medical Centre Ltd. Both organizations recognize the value of coordinated care for vulnerable individuals in Ghana, and commit to building a structured, sustainable, and professionally managed partnership grounded in the terms outlined herein.</w:t>
      </w:r>
    </w:p>
    <w:p>
      <w:pPr>
        <w:spacing w:after="60" w:before="60"/>
      </w:pPr>
      <w:r>
        <w:rPr>
          <w:rFonts w:ascii="Arial" w:cs="Arial" w:eastAsia="Arial" w:hAnsi="Arial"/>
          <w:color w:val="221E1F"/>
          <w:sz w:val="22"/>
          <w:szCs w:val="22"/>
        </w:rPr>
        <w:t xml:space="preserve">This MOU is not a legally binding contract but represents a good-faith commitment by both parties.</w:t>
      </w:r>
    </w:p>
    <w:p>
      <w:pPr>
        <w:pBdr>
          <w:bottom w:val="single" w:color="F0562D" w:sz="4" w:space="4"/>
        </w:pBdr>
        <w:spacing w:after="120" w:before="360"/>
      </w:pPr>
      <w:r>
        <w:rPr>
          <w:rFonts w:ascii="Arial" w:cs="Arial" w:eastAsia="Arial" w:hAnsi="Arial"/>
          <w:b/>
          <w:bCs/>
          <w:color w:val="F0562D"/>
          <w:sz w:val="28"/>
          <w:szCs w:val="28"/>
        </w:rPr>
        <w:t xml:space="preserve">PILOT PHASE</w:t>
      </w:r>
    </w:p>
    <w:p>
      <w:pPr>
        <w:spacing w:after="60" w:before="60"/>
      </w:pPr>
      <w:r>
        <w:rPr>
          <w:rFonts w:ascii="Arial" w:cs="Arial" w:eastAsia="Arial" w:hAnsi="Arial"/>
          <w:color w:val="221E1F"/>
          <w:sz w:val="22"/>
          <w:szCs w:val="22"/>
        </w:rPr>
        <w:t xml:space="preserve">Both parties agree that this partnership will commence with a 90-day Pilot Phase, as proposed by The Brain and Sleep Medical Centre Ltd in their response of 8th April, 2026. The terms of the Pilot Phase are governed by the Pilot Phase Framework (Annex C), which is attached to and forms part of this MOU.</w:t>
      </w:r>
    </w:p>
    <w:p>
      <w:pPr>
        <w:spacing w:after="60" w:before="60"/>
      </w:pPr>
      <w:r>
        <w:rPr>
          <w:rFonts w:ascii="Arial" w:cs="Arial" w:eastAsia="Arial" w:hAnsi="Arial"/>
          <w:color w:val="221E1F"/>
          <w:sz w:val="22"/>
          <w:szCs w:val="22"/>
        </w:rPr>
        <w:t xml:space="preserve">A full partnership review will take place at the end of the pilot period. Continuation of the partnership beyond the pilot is subject to satisfactory review outcomes as defined in the Pilot Phase Framework.</w:t>
      </w:r>
    </w:p>
    <w:p>
      <w:pPr>
        <w:pBdr>
          <w:bottom w:val="single" w:color="F0562D" w:sz="4" w:space="4"/>
        </w:pBdr>
        <w:spacing w:after="120" w:before="360"/>
      </w:pPr>
      <w:r>
        <w:rPr>
          <w:rFonts w:ascii="Arial" w:cs="Arial" w:eastAsia="Arial" w:hAnsi="Arial"/>
          <w:b/>
          <w:bCs/>
          <w:color w:val="F0562D"/>
          <w:sz w:val="28"/>
          <w:szCs w:val="28"/>
        </w:rPr>
        <w:t xml:space="preserve">SCOPE OF COLLABORATION</w:t>
      </w:r>
    </w:p>
    <w:p>
      <w:pPr>
        <w:pStyle w:val="ListParagraph"/>
        <w:numPr>
          <w:ilvl w:val="0"/>
          <w:numId w:val="2"/>
        </w:numPr>
        <w:spacing w:after="40" w:before="40"/>
      </w:pPr>
      <w:r>
        <w:rPr>
          <w:rFonts w:ascii="Arial" w:cs="Arial" w:eastAsia="Arial" w:hAnsi="Arial"/>
          <w:color w:val="221E1F"/>
          <w:sz w:val="22"/>
          <w:szCs w:val="22"/>
        </w:rPr>
        <w:t xml:space="preserve">BNB will refer clients requiring mental health, sleep medicine, or specialist medical services to The Brain and Sleep Medical Centre Ltd</w:t>
      </w:r>
    </w:p>
    <w:p>
      <w:pPr>
        <w:pStyle w:val="ListParagraph"/>
        <w:numPr>
          <w:ilvl w:val="0"/>
          <w:numId w:val="2"/>
        </w:numPr>
        <w:spacing w:after="40" w:before="40"/>
      </w:pPr>
      <w:r>
        <w:rPr>
          <w:rFonts w:ascii="Arial" w:cs="Arial" w:eastAsia="Arial" w:hAnsi="Arial"/>
          <w:color w:val="221E1F"/>
          <w:sz w:val="22"/>
          <w:szCs w:val="22"/>
        </w:rPr>
        <w:t xml:space="preserve">The Brain and Sleep Medical Centre Ltd will refer patients in need of social stabilization, case management, skills support, or community reintegration to BNB</w:t>
      </w:r>
    </w:p>
    <w:p>
      <w:pPr>
        <w:pStyle w:val="ListParagraph"/>
        <w:numPr>
          <w:ilvl w:val="0"/>
          <w:numId w:val="2"/>
        </w:numPr>
        <w:spacing w:after="40" w:before="40"/>
      </w:pPr>
      <w:r>
        <w:rPr>
          <w:rFonts w:ascii="Arial" w:cs="Arial" w:eastAsia="Arial" w:hAnsi="Arial"/>
          <w:color w:val="221E1F"/>
          <w:sz w:val="22"/>
          <w:szCs w:val="22"/>
        </w:rPr>
        <w:t xml:space="preserve">Both parties will coordinate care for shared clients in accordance with confidentiality and consent protocols</w:t>
      </w:r>
    </w:p>
    <w:p>
      <w:pPr>
        <w:pStyle w:val="ListParagraph"/>
        <w:numPr>
          <w:ilvl w:val="0"/>
          <w:numId w:val="2"/>
        </w:numPr>
        <w:spacing w:after="40" w:before="40"/>
      </w:pPr>
      <w:r>
        <w:rPr>
          <w:rFonts w:ascii="Arial" w:cs="Arial" w:eastAsia="Arial" w:hAnsi="Arial"/>
          <w:color w:val="221E1F"/>
          <w:sz w:val="22"/>
          <w:szCs w:val="22"/>
        </w:rPr>
        <w:t xml:space="preserve">Both parties will participate in joint review meetings and contribute to the shared referral tracking log</w:t>
      </w:r>
    </w:p>
    <w:p>
      <w:pPr>
        <w:pBdr>
          <w:bottom w:val="single" w:color="F0562D" w:sz="4" w:space="4"/>
        </w:pBdr>
        <w:spacing w:after="120" w:before="360"/>
      </w:pPr>
      <w:r>
        <w:rPr>
          <w:rFonts w:ascii="Arial" w:cs="Arial" w:eastAsia="Arial" w:hAnsi="Arial"/>
          <w:b/>
          <w:bCs/>
          <w:color w:val="F0562D"/>
          <w:sz w:val="28"/>
          <w:szCs w:val="28"/>
        </w:rPr>
        <w:t xml:space="preserve">CLIENT CATEGORIES AND PAYMENT RESPONSIBILITIES</w:t>
      </w:r>
    </w:p>
    <w:p>
      <w:pPr>
        <w:spacing w:after="60" w:before="60"/>
      </w:pPr>
      <w:r>
        <w:rPr>
          <w:rFonts w:ascii="Arial" w:cs="Arial" w:eastAsia="Arial" w:hAnsi="Arial"/>
          <w:color w:val="221E1F"/>
          <w:sz w:val="22"/>
          <w:szCs w:val="22"/>
        </w:rPr>
        <w:t xml:space="preserve">All BNB-referred clients will be classified into one of three categories prior to referral. Payment arrangements must be confirmed in writing before service delivery commences.</w:t>
      </w:r>
    </w:p>
    <w:p>
      <w:pPr>
        <w:spacing w:after="60" w:before="60"/>
      </w:pPr>
      <w:r>
        <w:t xml:space="preserve"/>
      </w:r>
    </w:p>
    <w:p>
      <w:pPr>
        <w:spacing w:after="80" w:before="280"/>
      </w:pPr>
      <w:r>
        <w:rPr>
          <w:rFonts w:ascii="Arial" w:cs="Arial" w:eastAsia="Arial" w:hAnsi="Arial"/>
          <w:b/>
          <w:bCs/>
          <w:color w:val="221E1F"/>
          <w:sz w:val="24"/>
          <w:szCs w:val="24"/>
        </w:rPr>
        <w:t xml:space="preserve">Category 1: Fully Paying Clients</w:t>
      </w:r>
    </w:p>
    <w:p>
      <w:pPr>
        <w:spacing w:after="60" w:before="60"/>
      </w:pPr>
      <w:r>
        <w:rPr>
          <w:rFonts w:ascii="Arial" w:cs="Arial" w:eastAsia="Arial" w:hAnsi="Arial"/>
          <w:color w:val="221E1F"/>
          <w:sz w:val="22"/>
          <w:szCs w:val="22"/>
        </w:rPr>
        <w:t xml:space="preserve">Clients who have the financial capacity to meet the full cost of services at The Brain and Sleep Medical Centre Ltd. BNB will confirm this classification on the referral form. The client or their family is solely responsible for payment.</w:t>
      </w:r>
    </w:p>
    <w:p>
      <w:pPr>
        <w:spacing w:after="60" w:before="60"/>
      </w:pPr>
      <w:r>
        <w:t xml:space="preserve"/>
      </w:r>
    </w:p>
    <w:p>
      <w:pPr>
        <w:spacing w:after="80" w:before="280"/>
      </w:pPr>
      <w:r>
        <w:rPr>
          <w:rFonts w:ascii="Arial" w:cs="Arial" w:eastAsia="Arial" w:hAnsi="Arial"/>
          <w:b/>
          <w:bCs/>
          <w:color w:val="221E1F"/>
          <w:sz w:val="24"/>
          <w:szCs w:val="24"/>
        </w:rPr>
        <w:t xml:space="preserve">Category 2: Partially Supported Clients</w:t>
      </w:r>
    </w:p>
    <w:p>
      <w:pPr>
        <w:spacing w:after="60" w:before="60"/>
      </w:pPr>
      <w:r>
        <w:rPr>
          <w:rFonts w:ascii="Arial" w:cs="Arial" w:eastAsia="Arial" w:hAnsi="Arial"/>
          <w:color w:val="221E1F"/>
          <w:sz w:val="22"/>
          <w:szCs w:val="22"/>
        </w:rPr>
        <w:t xml:space="preserve">Clients for whom BNB will co-fund a portion of service costs through its donor-funded programs, with the client contributing based on their assessed financial capacity. BNB will issue a written Payment Commitment Letter at the time of referral specifying the BNB contribution amount and payment timeline. The Centre will invoice BNB directly for its agreed portion.</w:t>
      </w:r>
    </w:p>
    <w:p>
      <w:pPr>
        <w:spacing w:after="60" w:before="60"/>
      </w:pPr>
      <w:r>
        <w:t xml:space="preserve"/>
      </w:r>
    </w:p>
    <w:p>
      <w:pPr>
        <w:spacing w:after="80" w:before="280"/>
      </w:pPr>
      <w:r>
        <w:rPr>
          <w:rFonts w:ascii="Arial" w:cs="Arial" w:eastAsia="Arial" w:hAnsi="Arial"/>
          <w:b/>
          <w:bCs/>
          <w:color w:val="221E1F"/>
          <w:sz w:val="24"/>
          <w:szCs w:val="24"/>
        </w:rPr>
        <w:t xml:space="preserve">Category 3: Exceptional Cases</w:t>
      </w:r>
    </w:p>
    <w:p>
      <w:pPr>
        <w:spacing w:after="60" w:before="60"/>
      </w:pPr>
      <w:r>
        <w:rPr>
          <w:rFonts w:ascii="Arial" w:cs="Arial" w:eastAsia="Arial" w:hAnsi="Arial"/>
          <w:color w:val="221E1F"/>
          <w:sz w:val="22"/>
          <w:szCs w:val="22"/>
        </w:rPr>
        <w:t xml:space="preserve">A limited number of clients presenting with acute need and no financial capacity. These cases require prior written approval from The Brain and Sleep Medical Centre Ltd's designated liaison before the referral is processed. The number of exceptional cases will be agreed during the pilot review and documented in the Fee Schedule (Annex A). BNB will fund the agreed costs for exceptional cases from its donor-funded programs.</w:t>
      </w:r>
    </w:p>
    <w:p>
      <w:pPr>
        <w:spacing w:after="60" w:before="60"/>
      </w:pPr>
      <w:r>
        <w:t xml:space="preserve"/>
      </w:r>
    </w:p>
    <w:p>
      <w:pPr>
        <w:spacing w:after="60" w:before="60"/>
      </w:pPr>
      <w:r>
        <w:rPr>
          <w:rFonts w:ascii="Arial" w:cs="Arial" w:eastAsia="Arial" w:hAnsi="Arial"/>
          <w:color w:val="221E1F"/>
          <w:sz w:val="22"/>
          <w:szCs w:val="22"/>
        </w:rPr>
        <w:t xml:space="preserve">Neither party will be held financially liable for costs that have not been confirmed in writing in advance of service delivery.</w:t>
      </w:r>
    </w:p>
    <w:p>
      <w:pPr>
        <w:pBdr>
          <w:bottom w:val="single" w:color="F0562D" w:sz="4" w:space="4"/>
        </w:pBdr>
        <w:spacing w:after="120" w:before="360"/>
      </w:pPr>
      <w:r>
        <w:rPr>
          <w:rFonts w:ascii="Arial" w:cs="Arial" w:eastAsia="Arial" w:hAnsi="Arial"/>
          <w:b/>
          <w:bCs/>
          <w:color w:val="F0562D"/>
          <w:sz w:val="28"/>
          <w:szCs w:val="28"/>
        </w:rPr>
        <w:t xml:space="preserve">ROLES AND RESPONSIBILITIES</w:t>
      </w:r>
    </w:p>
    <w:p>
      <w:pPr>
        <w:spacing w:after="80" w:before="280"/>
      </w:pPr>
      <w:r>
        <w:rPr>
          <w:rFonts w:ascii="Arial" w:cs="Arial" w:eastAsia="Arial" w:hAnsi="Arial"/>
          <w:b/>
          <w:bCs/>
          <w:color w:val="221E1F"/>
          <w:sz w:val="24"/>
          <w:szCs w:val="24"/>
        </w:rPr>
        <w:t xml:space="preserve">Beacon of New Beginnings agrees to:</w:t>
      </w:r>
    </w:p>
    <w:p>
      <w:pPr>
        <w:pStyle w:val="ListParagraph"/>
        <w:numPr>
          <w:ilvl w:val="0"/>
          <w:numId w:val="2"/>
        </w:numPr>
        <w:spacing w:after="40" w:before="40"/>
      </w:pPr>
      <w:r>
        <w:rPr>
          <w:rFonts w:ascii="Arial" w:cs="Arial" w:eastAsia="Arial" w:hAnsi="Arial"/>
          <w:color w:val="221E1F"/>
          <w:sz w:val="22"/>
          <w:szCs w:val="22"/>
        </w:rPr>
        <w:t xml:space="preserve">Identify and assess clients for referral to The Brain and Sleep Medical Centre Ltd</w:t>
      </w:r>
    </w:p>
    <w:p>
      <w:pPr>
        <w:pStyle w:val="ListParagraph"/>
        <w:numPr>
          <w:ilvl w:val="0"/>
          <w:numId w:val="2"/>
        </w:numPr>
        <w:spacing w:after="40" w:before="40"/>
      </w:pPr>
      <w:r>
        <w:rPr>
          <w:rFonts w:ascii="Arial" w:cs="Arial" w:eastAsia="Arial" w:hAnsi="Arial"/>
          <w:color w:val="221E1F"/>
          <w:sz w:val="22"/>
          <w:szCs w:val="22"/>
        </w:rPr>
        <w:t xml:space="preserve">Classify each referred client into the correct payment category and confirm this on the referral form</w:t>
      </w:r>
    </w:p>
    <w:p>
      <w:pPr>
        <w:pStyle w:val="ListParagraph"/>
        <w:numPr>
          <w:ilvl w:val="0"/>
          <w:numId w:val="2"/>
        </w:numPr>
        <w:spacing w:after="40" w:before="40"/>
      </w:pPr>
      <w:r>
        <w:rPr>
          <w:rFonts w:ascii="Arial" w:cs="Arial" w:eastAsia="Arial" w:hAnsi="Arial"/>
          <w:color w:val="221E1F"/>
          <w:sz w:val="22"/>
          <w:szCs w:val="22"/>
        </w:rPr>
        <w:t xml:space="preserve">Provide a Payment Commitment Letter for all partially supported referrals</w:t>
      </w:r>
    </w:p>
    <w:p>
      <w:pPr>
        <w:pStyle w:val="ListParagraph"/>
        <w:numPr>
          <w:ilvl w:val="0"/>
          <w:numId w:val="2"/>
        </w:numPr>
        <w:spacing w:after="40" w:before="40"/>
      </w:pPr>
      <w:r>
        <w:rPr>
          <w:rFonts w:ascii="Arial" w:cs="Arial" w:eastAsia="Arial" w:hAnsi="Arial"/>
          <w:color w:val="221E1F"/>
          <w:sz w:val="22"/>
          <w:szCs w:val="22"/>
        </w:rPr>
        <w:t xml:space="preserve">Submit an Exceptional Case Request and await written approval before processing Category 3 referrals</w:t>
      </w:r>
    </w:p>
    <w:p>
      <w:pPr>
        <w:pStyle w:val="ListParagraph"/>
        <w:numPr>
          <w:ilvl w:val="0"/>
          <w:numId w:val="2"/>
        </w:numPr>
        <w:spacing w:after="40" w:before="40"/>
      </w:pPr>
      <w:r>
        <w:rPr>
          <w:rFonts w:ascii="Arial" w:cs="Arial" w:eastAsia="Arial" w:hAnsi="Arial"/>
          <w:color w:val="221E1F"/>
          <w:sz w:val="22"/>
          <w:szCs w:val="22"/>
        </w:rPr>
        <w:t xml:space="preserve">Honor all agreed payment commitments within the timelines specified</w:t>
      </w:r>
    </w:p>
    <w:p>
      <w:pPr>
        <w:pStyle w:val="ListParagraph"/>
        <w:numPr>
          <w:ilvl w:val="0"/>
          <w:numId w:val="2"/>
        </w:numPr>
        <w:spacing w:after="40" w:before="40"/>
      </w:pPr>
      <w:r>
        <w:rPr>
          <w:rFonts w:ascii="Arial" w:cs="Arial" w:eastAsia="Arial" w:hAnsi="Arial"/>
          <w:color w:val="221E1F"/>
          <w:sz w:val="22"/>
          <w:szCs w:val="22"/>
        </w:rPr>
        <w:t xml:space="preserve">Designate a liaison for ongoing coordination</w:t>
      </w:r>
    </w:p>
    <w:p>
      <w:pPr>
        <w:pStyle w:val="ListParagraph"/>
        <w:numPr>
          <w:ilvl w:val="0"/>
          <w:numId w:val="2"/>
        </w:numPr>
        <w:spacing w:after="40" w:before="40"/>
      </w:pPr>
      <w:r>
        <w:rPr>
          <w:rFonts w:ascii="Arial" w:cs="Arial" w:eastAsia="Arial" w:hAnsi="Arial"/>
          <w:color w:val="221E1F"/>
          <w:sz w:val="22"/>
          <w:szCs w:val="22"/>
        </w:rPr>
        <w:t xml:space="preserve">Maintain client confidentiality at all times</w:t>
      </w:r>
    </w:p>
    <w:p>
      <w:pPr>
        <w:pStyle w:val="ListParagraph"/>
        <w:numPr>
          <w:ilvl w:val="0"/>
          <w:numId w:val="2"/>
        </w:numPr>
        <w:spacing w:after="40" w:before="40"/>
      </w:pPr>
      <w:r>
        <w:rPr>
          <w:rFonts w:ascii="Arial" w:cs="Arial" w:eastAsia="Arial" w:hAnsi="Arial"/>
          <w:color w:val="221E1F"/>
          <w:sz w:val="22"/>
          <w:szCs w:val="22"/>
        </w:rPr>
        <w:t xml:space="preserve">Participate in pilot milestones, check-ins, and the formal pilot review</w:t>
      </w:r>
    </w:p>
    <w:p>
      <w:pPr>
        <w:spacing w:after="60" w:before="60"/>
      </w:pPr>
      <w:r>
        <w:t xml:space="preserve"/>
      </w:r>
    </w:p>
    <w:p>
      <w:pPr>
        <w:spacing w:after="80" w:before="280"/>
      </w:pPr>
      <w:r>
        <w:rPr>
          <w:rFonts w:ascii="Arial" w:cs="Arial" w:eastAsia="Arial" w:hAnsi="Arial"/>
          <w:b/>
          <w:bCs/>
          <w:color w:val="221E1F"/>
          <w:sz w:val="24"/>
          <w:szCs w:val="24"/>
        </w:rPr>
        <w:t xml:space="preserve">The Brain and Sleep Medical Centre Ltd agrees to:</w:t>
      </w:r>
    </w:p>
    <w:p>
      <w:pPr>
        <w:pStyle w:val="ListParagraph"/>
        <w:numPr>
          <w:ilvl w:val="0"/>
          <w:numId w:val="2"/>
        </w:numPr>
        <w:spacing w:after="40" w:before="40"/>
      </w:pPr>
      <w:r>
        <w:rPr>
          <w:rFonts w:ascii="Arial" w:cs="Arial" w:eastAsia="Arial" w:hAnsi="Arial"/>
          <w:color w:val="221E1F"/>
          <w:sz w:val="22"/>
          <w:szCs w:val="22"/>
        </w:rPr>
        <w:t xml:space="preserve">Receive and process BNB referrals in accordance with the Referral Pathway Document (Annex B)</w:t>
      </w:r>
    </w:p>
    <w:p>
      <w:pPr>
        <w:pStyle w:val="ListParagraph"/>
        <w:numPr>
          <w:ilvl w:val="0"/>
          <w:numId w:val="2"/>
        </w:numPr>
        <w:spacing w:after="40" w:before="40"/>
      </w:pPr>
      <w:r>
        <w:rPr>
          <w:rFonts w:ascii="Arial" w:cs="Arial" w:eastAsia="Arial" w:hAnsi="Arial"/>
          <w:color w:val="221E1F"/>
          <w:sz w:val="22"/>
          <w:szCs w:val="22"/>
        </w:rPr>
        <w:t xml:space="preserve">Confirm receipt of referrals within three (3) business days</w:t>
      </w:r>
    </w:p>
    <w:p>
      <w:pPr>
        <w:pStyle w:val="ListParagraph"/>
        <w:numPr>
          <w:ilvl w:val="0"/>
          <w:numId w:val="2"/>
        </w:numPr>
        <w:spacing w:after="40" w:before="40"/>
      </w:pPr>
      <w:r>
        <w:rPr>
          <w:rFonts w:ascii="Arial" w:cs="Arial" w:eastAsia="Arial" w:hAnsi="Arial"/>
          <w:color w:val="221E1F"/>
          <w:sz w:val="22"/>
          <w:szCs w:val="22"/>
        </w:rPr>
        <w:t xml:space="preserve">Review and respond to Exceptional Case Requests within five (5) business days</w:t>
      </w:r>
    </w:p>
    <w:p>
      <w:pPr>
        <w:pStyle w:val="ListParagraph"/>
        <w:numPr>
          <w:ilvl w:val="0"/>
          <w:numId w:val="2"/>
        </w:numPr>
        <w:spacing w:after="40" w:before="40"/>
      </w:pPr>
      <w:r>
        <w:rPr>
          <w:rFonts w:ascii="Arial" w:cs="Arial" w:eastAsia="Arial" w:hAnsi="Arial"/>
          <w:color w:val="221E1F"/>
          <w:sz w:val="22"/>
          <w:szCs w:val="22"/>
        </w:rPr>
        <w:t xml:space="preserve">Refer patients in need of BNB services back to BNB where appropriate</w:t>
      </w:r>
    </w:p>
    <w:p>
      <w:pPr>
        <w:pStyle w:val="ListParagraph"/>
        <w:numPr>
          <w:ilvl w:val="0"/>
          <w:numId w:val="2"/>
        </w:numPr>
        <w:spacing w:after="40" w:before="40"/>
      </w:pPr>
      <w:r>
        <w:rPr>
          <w:rFonts w:ascii="Arial" w:cs="Arial" w:eastAsia="Arial" w:hAnsi="Arial"/>
          <w:color w:val="221E1F"/>
          <w:sz w:val="22"/>
          <w:szCs w:val="22"/>
        </w:rPr>
        <w:t xml:space="preserve">Designate a liaison for ongoing coordination</w:t>
      </w:r>
    </w:p>
    <w:p>
      <w:pPr>
        <w:pStyle w:val="ListParagraph"/>
        <w:numPr>
          <w:ilvl w:val="0"/>
          <w:numId w:val="2"/>
        </w:numPr>
        <w:spacing w:after="40" w:before="40"/>
      </w:pPr>
      <w:r>
        <w:rPr>
          <w:rFonts w:ascii="Arial" w:cs="Arial" w:eastAsia="Arial" w:hAnsi="Arial"/>
          <w:color w:val="221E1F"/>
          <w:sz w:val="22"/>
          <w:szCs w:val="22"/>
        </w:rPr>
        <w:t xml:space="preserve">Maintain client confidentiality at all times</w:t>
      </w:r>
    </w:p>
    <w:p>
      <w:pPr>
        <w:pStyle w:val="ListParagraph"/>
        <w:numPr>
          <w:ilvl w:val="0"/>
          <w:numId w:val="2"/>
        </w:numPr>
        <w:spacing w:after="40" w:before="40"/>
      </w:pPr>
      <w:r>
        <w:rPr>
          <w:rFonts w:ascii="Arial" w:cs="Arial" w:eastAsia="Arial" w:hAnsi="Arial"/>
          <w:color w:val="221E1F"/>
          <w:sz w:val="22"/>
          <w:szCs w:val="22"/>
        </w:rPr>
        <w:t xml:space="preserve">Participate in pilot milestones, check-ins, and the formal pilot review</w:t>
      </w:r>
    </w:p>
    <w:p>
      <w:pPr>
        <w:pBdr>
          <w:bottom w:val="single" w:color="F0562D" w:sz="4" w:space="4"/>
        </w:pBdr>
        <w:spacing w:after="120" w:before="360"/>
      </w:pPr>
      <w:r>
        <w:rPr>
          <w:rFonts w:ascii="Arial" w:cs="Arial" w:eastAsia="Arial" w:hAnsi="Arial"/>
          <w:b/>
          <w:bCs/>
          <w:color w:val="F0562D"/>
          <w:sz w:val="28"/>
          <w:szCs w:val="28"/>
        </w:rPr>
        <w:t xml:space="preserve">REFERRAL PROCESS</w:t>
      </w:r>
    </w:p>
    <w:p>
      <w:pPr>
        <w:spacing w:after="60" w:before="60"/>
      </w:pPr>
      <w:r>
        <w:rPr>
          <w:rFonts w:ascii="Arial" w:cs="Arial" w:eastAsia="Arial" w:hAnsi="Arial"/>
          <w:color w:val="221E1F"/>
          <w:sz w:val="22"/>
          <w:szCs w:val="22"/>
        </w:rPr>
        <w:t xml:space="preserve">Both parties will follow the Referral Pathway Document (Annex B). Key principles:</w:t>
      </w:r>
    </w:p>
    <w:p>
      <w:pPr>
        <w:pStyle w:val="ListParagraph"/>
        <w:numPr>
          <w:ilvl w:val="0"/>
          <w:numId w:val="2"/>
        </w:numPr>
        <w:spacing w:after="40" w:before="40"/>
      </w:pPr>
      <w:r>
        <w:rPr>
          <w:rFonts w:ascii="Arial" w:cs="Arial" w:eastAsia="Arial" w:hAnsi="Arial"/>
          <w:color w:val="221E1F"/>
          <w:sz w:val="22"/>
          <w:szCs w:val="22"/>
        </w:rPr>
        <w:t xml:space="preserve">All referrals require the BNB Standard Referral Form, fully completed with client category confirmed</w:t>
      </w:r>
    </w:p>
    <w:p>
      <w:pPr>
        <w:pStyle w:val="ListParagraph"/>
        <w:numPr>
          <w:ilvl w:val="0"/>
          <w:numId w:val="2"/>
        </w:numPr>
        <w:spacing w:after="40" w:before="40"/>
      </w:pPr>
      <w:r>
        <w:rPr>
          <w:rFonts w:ascii="Arial" w:cs="Arial" w:eastAsia="Arial" w:hAnsi="Arial"/>
          <w:color w:val="221E1F"/>
          <w:sz w:val="22"/>
          <w:szCs w:val="22"/>
        </w:rPr>
        <w:t xml:space="preserve">All referrals require written informed consent from the referred individual</w:t>
      </w:r>
    </w:p>
    <w:p>
      <w:pPr>
        <w:pStyle w:val="ListParagraph"/>
        <w:numPr>
          <w:ilvl w:val="0"/>
          <w:numId w:val="2"/>
        </w:numPr>
        <w:spacing w:after="40" w:before="40"/>
      </w:pPr>
      <w:r>
        <w:rPr>
          <w:rFonts w:ascii="Arial" w:cs="Arial" w:eastAsia="Arial" w:hAnsi="Arial"/>
          <w:color w:val="221E1F"/>
          <w:sz w:val="22"/>
          <w:szCs w:val="22"/>
        </w:rPr>
        <w:t xml:space="preserve">Intake appointments will be confirmed within three (3) business days of referral receipt</w:t>
      </w:r>
    </w:p>
    <w:p>
      <w:pPr>
        <w:pStyle w:val="ListParagraph"/>
        <w:numPr>
          <w:ilvl w:val="0"/>
          <w:numId w:val="2"/>
        </w:numPr>
        <w:spacing w:after="40" w:before="40"/>
      </w:pPr>
      <w:r>
        <w:rPr>
          <w:rFonts w:ascii="Arial" w:cs="Arial" w:eastAsia="Arial" w:hAnsi="Arial"/>
          <w:color w:val="221E1F"/>
          <w:sz w:val="22"/>
          <w:szCs w:val="22"/>
        </w:rPr>
        <w:t xml:space="preserve">No referral will proceed to service delivery without confirmed payment arrangements</w:t>
      </w:r>
    </w:p>
    <w:p>
      <w:pPr>
        <w:pBdr>
          <w:bottom w:val="single" w:color="F0562D" w:sz="4" w:space="4"/>
        </w:pBdr>
        <w:spacing w:after="120" w:before="360"/>
      </w:pPr>
      <w:r>
        <w:rPr>
          <w:rFonts w:ascii="Arial" w:cs="Arial" w:eastAsia="Arial" w:hAnsi="Arial"/>
          <w:b/>
          <w:bCs/>
          <w:color w:val="F0562D"/>
          <w:sz w:val="28"/>
          <w:szCs w:val="28"/>
        </w:rPr>
        <w:t xml:space="preserve">CONFIDENTIALITY AND DATA PROTECTION</w:t>
      </w:r>
    </w:p>
    <w:p>
      <w:pPr>
        <w:pStyle w:val="ListParagraph"/>
        <w:numPr>
          <w:ilvl w:val="0"/>
          <w:numId w:val="2"/>
        </w:numPr>
        <w:spacing w:after="40" w:before="40"/>
      </w:pPr>
      <w:r>
        <w:rPr>
          <w:rFonts w:ascii="Arial" w:cs="Arial" w:eastAsia="Arial" w:hAnsi="Arial"/>
          <w:color w:val="221E1F"/>
          <w:sz w:val="22"/>
          <w:szCs w:val="22"/>
        </w:rPr>
        <w:t xml:space="preserve">Both parties will handle all client information with strict confidentiality</w:t>
      </w:r>
    </w:p>
    <w:p>
      <w:pPr>
        <w:pStyle w:val="ListParagraph"/>
        <w:numPr>
          <w:ilvl w:val="0"/>
          <w:numId w:val="2"/>
        </w:numPr>
        <w:spacing w:after="40" w:before="40"/>
      </w:pPr>
      <w:r>
        <w:rPr>
          <w:rFonts w:ascii="Arial" w:cs="Arial" w:eastAsia="Arial" w:hAnsi="Arial"/>
          <w:color w:val="221E1F"/>
          <w:sz w:val="22"/>
          <w:szCs w:val="22"/>
        </w:rPr>
        <w:t xml:space="preserve">Information will be shared only with client consent and only to the minimum extent necessary</w:t>
      </w:r>
    </w:p>
    <w:p>
      <w:pPr>
        <w:pStyle w:val="ListParagraph"/>
        <w:numPr>
          <w:ilvl w:val="0"/>
          <w:numId w:val="2"/>
        </w:numPr>
        <w:spacing w:after="40" w:before="40"/>
      </w:pPr>
      <w:r>
        <w:rPr>
          <w:rFonts w:ascii="Arial" w:cs="Arial" w:eastAsia="Arial" w:hAnsi="Arial"/>
          <w:color w:val="221E1F"/>
          <w:sz w:val="22"/>
          <w:szCs w:val="22"/>
        </w:rPr>
        <w:t xml:space="preserve">Neither party will disclose client information to any third party without prior written consent</w:t>
      </w:r>
    </w:p>
    <w:p>
      <w:pPr>
        <w:pStyle w:val="ListParagraph"/>
        <w:numPr>
          <w:ilvl w:val="0"/>
          <w:numId w:val="2"/>
        </w:numPr>
        <w:spacing w:after="40" w:before="40"/>
      </w:pPr>
      <w:r>
        <w:rPr>
          <w:rFonts w:ascii="Arial" w:cs="Arial" w:eastAsia="Arial" w:hAnsi="Arial"/>
          <w:color w:val="221E1F"/>
          <w:sz w:val="22"/>
          <w:szCs w:val="22"/>
        </w:rPr>
        <w:t xml:space="preserve">Both parties will comply with applicable data protection standards</w:t>
      </w:r>
    </w:p>
    <w:p>
      <w:pPr>
        <w:pBdr>
          <w:bottom w:val="single" w:color="F0562D" w:sz="4" w:space="4"/>
        </w:pBdr>
        <w:spacing w:after="120" w:before="360"/>
      </w:pPr>
      <w:r>
        <w:rPr>
          <w:rFonts w:ascii="Arial" w:cs="Arial" w:eastAsia="Arial" w:hAnsi="Arial"/>
          <w:b/>
          <w:bCs/>
          <w:color w:val="F0562D"/>
          <w:sz w:val="28"/>
          <w:szCs w:val="28"/>
        </w:rPr>
        <w:t xml:space="preserve">DURATION, REVIEW, AND RENEWAL</w:t>
      </w:r>
    </w:p>
    <w:p>
      <w:pPr>
        <w:spacing w:after="60" w:before="60"/>
      </w:pPr>
      <w:r>
        <w:rPr>
          <w:rFonts w:ascii="Arial" w:cs="Arial" w:eastAsia="Arial" w:hAnsi="Arial"/>
          <w:color w:val="221E1F"/>
          <w:sz w:val="22"/>
          <w:szCs w:val="22"/>
        </w:rPr>
        <w:t xml:space="preserve">This MOU takes effect from the date of signing. The initial 90-day pilot phase will be followed by a formal review. Upon successful review, the MOU will continue for a further twelve (12) months and may be renewed by mutual written agreement. Either party may request amendments with thirty (30) days written notice.</w:t>
      </w:r>
    </w:p>
    <w:p>
      <w:pPr>
        <w:pBdr>
          <w:bottom w:val="single" w:color="F0562D" w:sz="4" w:space="4"/>
        </w:pBdr>
        <w:spacing w:after="120" w:before="360"/>
      </w:pPr>
      <w:r>
        <w:rPr>
          <w:rFonts w:ascii="Arial" w:cs="Arial" w:eastAsia="Arial" w:hAnsi="Arial"/>
          <w:b/>
          <w:bCs/>
          <w:color w:val="F0562D"/>
          <w:sz w:val="28"/>
          <w:szCs w:val="28"/>
        </w:rPr>
        <w:t xml:space="preserve">TERMINATION</w:t>
      </w:r>
    </w:p>
    <w:p>
      <w:pPr>
        <w:spacing w:after="60" w:before="60"/>
      </w:pPr>
      <w:r>
        <w:rPr>
          <w:rFonts w:ascii="Arial" w:cs="Arial" w:eastAsia="Arial" w:hAnsi="Arial"/>
          <w:color w:val="221E1F"/>
          <w:sz w:val="22"/>
          <w:szCs w:val="22"/>
        </w:rPr>
        <w:t xml:space="preserve">Either party may terminate this MOU by providing thirty (30) days written notice. Active referral cases will be managed to protect client wellbeing. Confidentiality obligations survive termination indefinitely.</w:t>
      </w:r>
    </w:p>
    <w:p>
      <w:pPr>
        <w:pBdr>
          <w:bottom w:val="single" w:color="F0562D" w:sz="4" w:space="4"/>
        </w:pBdr>
        <w:spacing w:after="120" w:before="360"/>
      </w:pPr>
      <w:r>
        <w:rPr>
          <w:rFonts w:ascii="Arial" w:cs="Arial" w:eastAsia="Arial" w:hAnsi="Arial"/>
          <w:b/>
          <w:bCs/>
          <w:color w:val="F0562D"/>
          <w:sz w:val="28"/>
          <w:szCs w:val="28"/>
        </w:rPr>
        <w:t xml:space="preserve">DISPUTE RESOLUTION</w:t>
      </w:r>
    </w:p>
    <w:p>
      <w:pPr>
        <w:spacing w:after="60" w:before="60"/>
      </w:pPr>
      <w:r>
        <w:rPr>
          <w:rFonts w:ascii="Arial" w:cs="Arial" w:eastAsia="Arial" w:hAnsi="Arial"/>
          <w:color w:val="221E1F"/>
          <w:sz w:val="22"/>
          <w:szCs w:val="22"/>
        </w:rPr>
        <w:t xml:space="preserve">Disputes will first be addressed through good-faith dialogue between liaisons. If unresolved within thirty (30) days, the matter will be escalated to organizational leaders.</w:t>
      </w:r>
    </w:p>
    <w:p>
      <w:pPr>
        <w:pBdr>
          <w:bottom w:val="single" w:color="F0562D" w:sz="4" w:space="4"/>
        </w:pBdr>
        <w:spacing w:after="120" w:before="360"/>
      </w:pPr>
      <w:r>
        <w:rPr>
          <w:rFonts w:ascii="Arial" w:cs="Arial" w:eastAsia="Arial" w:hAnsi="Arial"/>
          <w:b/>
          <w:bCs/>
          <w:color w:val="F0562D"/>
          <w:sz w:val="28"/>
          <w:szCs w:val="28"/>
        </w:rPr>
        <w:t xml:space="preserve">GENERAL PROVISIONS</w:t>
      </w:r>
    </w:p>
    <w:p>
      <w:pPr>
        <w:pStyle w:val="ListParagraph"/>
        <w:numPr>
          <w:ilvl w:val="0"/>
          <w:numId w:val="2"/>
        </w:numPr>
        <w:spacing w:after="40" w:before="40"/>
      </w:pPr>
      <w:r>
        <w:rPr>
          <w:rFonts w:ascii="Arial" w:cs="Arial" w:eastAsia="Arial" w:hAnsi="Arial"/>
          <w:color w:val="221E1F"/>
          <w:sz w:val="22"/>
          <w:szCs w:val="22"/>
        </w:rPr>
        <w:t xml:space="preserve">This MOU does not create an employment, agency, or joint venture relationship</w:t>
      </w:r>
    </w:p>
    <w:p>
      <w:pPr>
        <w:pStyle w:val="ListParagraph"/>
        <w:numPr>
          <w:ilvl w:val="0"/>
          <w:numId w:val="2"/>
        </w:numPr>
        <w:spacing w:after="40" w:before="40"/>
      </w:pPr>
      <w:r>
        <w:rPr>
          <w:rFonts w:ascii="Arial" w:cs="Arial" w:eastAsia="Arial" w:hAnsi="Arial"/>
          <w:color w:val="221E1F"/>
          <w:sz w:val="22"/>
          <w:szCs w:val="22"/>
        </w:rPr>
        <w:t xml:space="preserve">Neither party may assign its obligations without prior written consent of the other</w:t>
      </w:r>
    </w:p>
    <w:p>
      <w:pPr>
        <w:pStyle w:val="ListParagraph"/>
        <w:numPr>
          <w:ilvl w:val="0"/>
          <w:numId w:val="2"/>
        </w:numPr>
        <w:spacing w:after="40" w:before="40"/>
      </w:pPr>
      <w:r>
        <w:rPr>
          <w:rFonts w:ascii="Arial" w:cs="Arial" w:eastAsia="Arial" w:hAnsi="Arial"/>
          <w:color w:val="221E1F"/>
          <w:sz w:val="22"/>
          <w:szCs w:val="22"/>
        </w:rPr>
        <w:t xml:space="preserve">This MOU supersedes all prior discussions on its subject matter</w:t>
      </w:r>
    </w:p>
    <w:p>
      <w:pPr>
        <w:spacing w:after="60" w:before="60"/>
      </w:pPr>
      <w:r>
        <w:t xml:space="preserve"/>
      </w:r>
    </w:p>
    <w:p>
      <w:pPr>
        <w:pBdr>
          <w:bottom w:val="single" w:color="F0562D" w:sz="4" w:space="4"/>
        </w:pBdr>
        <w:spacing w:after="120" w:before="360"/>
      </w:pPr>
      <w:r>
        <w:rPr>
          <w:rFonts w:ascii="Arial" w:cs="Arial" w:eastAsia="Arial" w:hAnsi="Arial"/>
          <w:b/>
          <w:bCs/>
          <w:color w:val="F0562D"/>
          <w:sz w:val="28"/>
          <w:szCs w:val="28"/>
        </w:rPr>
        <w:t xml:space="preserve">SIGNATURES</w:t>
      </w:r>
    </w:p>
    <w:p>
      <w:pPr>
        <w:spacing w:after="60" w:before="60"/>
      </w:pPr>
      <w:r>
        <w:rPr>
          <w:rFonts w:ascii="Arial" w:cs="Arial" w:eastAsia="Arial" w:hAnsi="Arial"/>
          <w:color w:val="221E1F"/>
          <w:sz w:val="22"/>
          <w:szCs w:val="22"/>
        </w:rPr>
        <w:t xml:space="preserve">IN WITNESS WHEREOF, the parties have executed this agreement as of the date first written above.</w:t>
      </w:r>
    </w:p>
    <w:p>
      <w:pPr>
        <w:spacing w:after="60" w:before="60"/>
      </w:pPr>
      <w:r>
        <w:t xml:space="preserve"/>
      </w:r>
    </w:p>
    <w:p>
      <w:pPr>
        <w:spacing w:after="60" w:before="200"/>
      </w:pPr>
      <w:r>
        <w:rPr>
          <w:rFonts w:ascii="Arial" w:cs="Arial" w:eastAsia="Arial" w:hAnsi="Arial"/>
          <w:b/>
          <w:bCs/>
          <w:color w:val="221E1F"/>
          <w:sz w:val="22"/>
          <w:szCs w:val="22"/>
        </w:rPr>
        <w:t xml:space="preserve">BEACON OF NEW BEGINNINGS</w:t>
      </w:r>
    </w:p>
    <w:p>
      <w:pPr>
        <w:spacing w:after="60" w:before="60"/>
      </w:pPr>
      <w:r>
        <w:rPr>
          <w:rFonts w:ascii="Arial" w:cs="Arial" w:eastAsia="Arial" w:hAnsi="Arial"/>
          <w:color w:val="221E1F"/>
          <w:sz w:val="22"/>
          <w:szCs w:val="22"/>
        </w:rPr>
        <w:t xml:space="preserve">Signed: _______________________________</w:t>
      </w:r>
    </w:p>
    <w:p>
      <w:pPr>
        <w:spacing w:after="60" w:before="60"/>
      </w:pPr>
      <w:r>
        <w:rPr>
          <w:rFonts w:ascii="Arial" w:cs="Arial" w:eastAsia="Arial" w:hAnsi="Arial"/>
          <w:color w:val="221E1F"/>
          <w:sz w:val="22"/>
          <w:szCs w:val="22"/>
        </w:rPr>
        <w:t xml:space="preserve">Name:    Enam Egyir</w:t>
      </w:r>
    </w:p>
    <w:p>
      <w:pPr>
        <w:spacing w:after="60" w:before="60"/>
      </w:pPr>
      <w:r>
        <w:rPr>
          <w:rFonts w:ascii="Arial" w:cs="Arial" w:eastAsia="Arial" w:hAnsi="Arial"/>
          <w:color w:val="221E1F"/>
          <w:sz w:val="22"/>
          <w:szCs w:val="22"/>
        </w:rPr>
        <w:t xml:space="preserve">Title:      Executive Director</w:t>
      </w:r>
    </w:p>
    <w:p>
      <w:pPr>
        <w:spacing w:after="60" w:before="60"/>
      </w:pPr>
      <w:r>
        <w:rPr>
          <w:rFonts w:ascii="Arial" w:cs="Arial" w:eastAsia="Arial" w:hAnsi="Arial"/>
          <w:color w:val="221E1F"/>
          <w:sz w:val="22"/>
          <w:szCs w:val="22"/>
        </w:rPr>
        <w:t xml:space="preserve">Date:      ___________________________</w:t>
      </w:r>
    </w:p>
    <w:p>
      <w:pPr>
        <w:spacing w:after="60" w:before="60"/>
      </w:pPr>
      <w:r>
        <w:t xml:space="preserve"/>
      </w:r>
    </w:p>
    <w:p>
      <w:pPr>
        <w:spacing w:after="60" w:before="200"/>
      </w:pPr>
      <w:r>
        <w:rPr>
          <w:rFonts w:ascii="Arial" w:cs="Arial" w:eastAsia="Arial" w:hAnsi="Arial"/>
          <w:b/>
          <w:bCs/>
          <w:color w:val="221E1F"/>
          <w:sz w:val="22"/>
          <w:szCs w:val="22"/>
        </w:rPr>
        <w:t xml:space="preserve">THE BRAIN AND SLEEP MEDICAL CENTRE LTD</w:t>
      </w:r>
    </w:p>
    <w:p>
      <w:pPr>
        <w:spacing w:after="60" w:before="60"/>
      </w:pPr>
      <w:r>
        <w:rPr>
          <w:rFonts w:ascii="Arial" w:cs="Arial" w:eastAsia="Arial" w:hAnsi="Arial"/>
          <w:color w:val="221E1F"/>
          <w:sz w:val="22"/>
          <w:szCs w:val="22"/>
        </w:rPr>
        <w:t xml:space="preserve">Signed: _______________________________</w:t>
      </w:r>
    </w:p>
    <w:p>
      <w:pPr>
        <w:spacing w:after="60" w:before="60"/>
      </w:pPr>
      <w:r>
        <w:rPr>
          <w:rFonts w:ascii="Arial" w:cs="Arial" w:eastAsia="Arial" w:hAnsi="Arial"/>
          <w:color w:val="221E1F"/>
          <w:sz w:val="22"/>
          <w:szCs w:val="22"/>
        </w:rPr>
        <w:t xml:space="preserve">Name:    Patience Asamoah</w:t>
      </w:r>
    </w:p>
    <w:p>
      <w:pPr>
        <w:spacing w:after="60" w:before="60"/>
      </w:pPr>
      <w:r>
        <w:rPr>
          <w:rFonts w:ascii="Arial" w:cs="Arial" w:eastAsia="Arial" w:hAnsi="Arial"/>
          <w:color w:val="221E1F"/>
          <w:sz w:val="22"/>
          <w:szCs w:val="22"/>
        </w:rPr>
        <w:t xml:space="preserve">Title:      General Manager</w:t>
      </w:r>
    </w:p>
    <w:p>
      <w:pPr>
        <w:spacing w:after="60" w:before="60"/>
      </w:pPr>
      <w:r>
        <w:rPr>
          <w:rFonts w:ascii="Arial" w:cs="Arial" w:eastAsia="Arial" w:hAnsi="Arial"/>
          <w:color w:val="221E1F"/>
          <w:sz w:val="22"/>
          <w:szCs w:val="22"/>
        </w:rPr>
        <w:t xml:space="preserve">Date:      ___________________________</w:t>
      </w:r>
    </w:p>
    <w:p>
      <w:pPr>
        <w:spacing w:after="60" w:before="60"/>
      </w:pPr>
      <w:r>
        <w:t xml:space="preserve"/>
      </w:r>
    </w:p>
    <w:p>
      <w:pPr>
        <w:pBdr>
          <w:bottom w:val="single" w:color="CCCCCC" w:sz="2" w:space="4"/>
        </w:pBdr>
        <w:spacing w:after="300" w:before="300"/>
      </w:pPr>
      <w:r>
        <w:t xml:space="preserve"/>
      </w:r>
    </w:p>
    <w:p>
      <w:pPr>
        <w:spacing w:after="60" w:before="60"/>
      </w:pPr>
      <w:r>
        <w:rPr>
          <w:rFonts w:ascii="Arial" w:cs="Arial" w:eastAsia="Arial" w:hAnsi="Arial"/>
          <w:i/>
          <w:iCs/>
          <w:color w:val="221E1F"/>
          <w:sz w:val="22"/>
          <w:szCs w:val="22"/>
        </w:rPr>
        <w:t xml:space="preserve">Annex A: Fee Schedule and Exceptional Case Quota  (to be completed at pilot review)</w:t>
      </w:r>
    </w:p>
    <w:p>
      <w:pPr>
        <w:spacing w:after="60" w:before="60"/>
      </w:pPr>
      <w:r>
        <w:rPr>
          <w:rFonts w:ascii="Arial" w:cs="Arial" w:eastAsia="Arial" w:hAnsi="Arial"/>
          <w:i/>
          <w:iCs/>
          <w:color w:val="221E1F"/>
          <w:sz w:val="22"/>
          <w:szCs w:val="22"/>
        </w:rPr>
        <w:t xml:space="preserve">Annex B: Referral Pathway Document  (attached)</w:t>
      </w:r>
    </w:p>
    <w:p>
      <w:pPr>
        <w:spacing w:after="60" w:before="60"/>
      </w:pPr>
      <w:r>
        <w:rPr>
          <w:rFonts w:ascii="Arial" w:cs="Arial" w:eastAsia="Arial" w:hAnsi="Arial"/>
          <w:i/>
          <w:iCs/>
          <w:color w:val="221E1F"/>
          <w:sz w:val="22"/>
          <w:szCs w:val="22"/>
        </w:rPr>
        <w:t xml:space="preserve">Annex C: Pilot Phase Framework  (attached)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1E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2026-04-08T17:47:29.233Z</dcterms:created>
  <dcterms:modified xsi:type="dcterms:W3CDTF">2026-04-08T17:47:29.233Z</dcterms:modified>
</cp:coreProperties>
</file>

<file path=docProps/custom.xml><?xml version="1.0" encoding="utf-8"?>
<Properties xmlns="http://schemas.openxmlformats.org/officeDocument/2006/custom-properties" xmlns:vt="http://schemas.openxmlformats.org/officeDocument/2006/docPropsVTypes"/>
</file>