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THE BEACONPATH GHANA</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40" w:before="40"/>
      </w:pPr>
      <w:r>
        <w:t xml:space="preserve"/>
      </w:r>
    </w:p>
    <w:p>
      <w:pPr>
        <w:pBdr>
          <w:bottom w:val="single" w:color="F0562D" w:sz="4" w:space="4"/>
        </w:pBdr>
        <w:spacing w:after="60" w:before="120"/>
        <w:jc w:val="center"/>
      </w:pPr>
      <w:r>
        <w:rPr>
          <w:rFonts w:ascii="Arial" w:cs="Arial" w:eastAsia="Arial" w:hAnsi="Arial"/>
          <w:b/>
          <w:bCs/>
          <w:color w:val="F0562D"/>
          <w:sz w:val="32"/>
          <w:szCs w:val="32"/>
        </w:rPr>
        <w:t xml:space="preserve">REFERRAL PATHWAY DOCUMENT</w:t>
      </w:r>
    </w:p>
    <w:p>
      <w:pPr>
        <w:spacing w:after="60" w:before="120"/>
        <w:jc w:val="center"/>
      </w:pPr>
      <w:r>
        <w:rPr>
          <w:rFonts w:ascii="Arial" w:cs="Arial" w:eastAsia="Arial" w:hAnsi="Arial"/>
          <w:i/>
          <w:iCs/>
          <w:color w:val="221E1F"/>
          <w:sz w:val="24"/>
          <w:szCs w:val="24"/>
        </w:rPr>
        <w:t xml:space="preserve">BPG &amp; The Brain and Sleep Medical Centre Ltd</w:t>
      </w:r>
    </w:p>
    <w:p>
      <w:pPr>
        <w:spacing w:after="300" w:before="0"/>
        <w:jc w:val="center"/>
      </w:pPr>
      <w:r>
        <w:rPr>
          <w:rFonts w:ascii="Arial" w:cs="Arial" w:eastAsia="Arial" w:hAnsi="Arial"/>
          <w:i/>
          <w:iCs/>
          <w:color w:val="777777"/>
          <w:sz w:val="20"/>
          <w:szCs w:val="20"/>
        </w:rPr>
        <w:t xml:space="preserve">Annex B to the Memorandum of Understanding</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document defines the referral procedures between The BeaconPath Ghana (BPG) and The Brain and Sleep Medical Centre Ltd. It serves as Annex B to the Memorandum of Understanding between both organizations. The Brain and Sleep Medical Centre Ltd is the designated receiving facility for mental health, sleep medicine, and specialist medical referrals under this partnership.</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REFERRAL TYPES</w:t>
      </w:r>
    </w:p>
    <w:p>
      <w:pPr>
        <w:spacing w:after="80" w:before="280"/>
      </w:pPr>
      <w:r>
        <w:rPr>
          <w:rFonts w:ascii="Arial" w:cs="Arial" w:eastAsia="Arial" w:hAnsi="Arial"/>
          <w:b/>
          <w:bCs/>
          <w:color w:val="221E1F"/>
          <w:sz w:val="24"/>
          <w:szCs w:val="24"/>
        </w:rPr>
        <w:t xml:space="preserve">1.  BPG → The Brain and Sleep Medical Centre Ltd</w:t>
      </w:r>
    </w:p>
    <w:p>
      <w:pPr>
        <w:spacing w:after="60" w:before="60"/>
      </w:pPr>
      <w:r>
        <w:rPr>
          <w:rFonts w:ascii="Arial" w:cs="Arial" w:eastAsia="Arial" w:hAnsi="Arial"/>
          <w:color w:val="221E1F"/>
          <w:sz w:val="22"/>
          <w:szCs w:val="22"/>
        </w:rPr>
        <w:t xml:space="preserve">BPG may refer clients to The Brain and Sleep Medical Centre Ltd when an individual requires mental health assessment, sleep medicine evaluation, or specialist medical services and meets all of the following criteria:</w:t>
      </w:r>
    </w:p>
    <w:p>
      <w:pPr>
        <w:pStyle w:val="ListParagraph"/>
        <w:numPr>
          <w:ilvl w:val="0"/>
          <w:numId w:val="2"/>
        </w:numPr>
        <w:spacing w:after="40" w:before="40"/>
      </w:pPr>
      <w:r>
        <w:rPr>
          <w:rFonts w:ascii="Arial" w:cs="Arial" w:eastAsia="Arial" w:hAnsi="Arial"/>
          <w:color w:val="221E1F"/>
          <w:sz w:val="22"/>
          <w:szCs w:val="22"/>
        </w:rPr>
        <w:t xml:space="preserve">The individual has been assessed by a BPG case manager and identified as needing specialist medical or mental health support</w:t>
      </w:r>
    </w:p>
    <w:p>
      <w:pPr>
        <w:pStyle w:val="ListParagraph"/>
        <w:numPr>
          <w:ilvl w:val="0"/>
          <w:numId w:val="2"/>
        </w:numPr>
        <w:spacing w:after="40" w:before="40"/>
      </w:pPr>
      <w:r>
        <w:rPr>
          <w:rFonts w:ascii="Arial" w:cs="Arial" w:eastAsia="Arial" w:hAnsi="Arial"/>
          <w:color w:val="221E1F"/>
          <w:sz w:val="22"/>
          <w:szCs w:val="22"/>
        </w:rPr>
        <w:t xml:space="preserve">The individual has provided informed, written consent to be referred</w:t>
      </w:r>
    </w:p>
    <w:p>
      <w:pPr>
        <w:pStyle w:val="ListParagraph"/>
        <w:numPr>
          <w:ilvl w:val="0"/>
          <w:numId w:val="2"/>
        </w:numPr>
        <w:spacing w:after="40" w:before="40"/>
      </w:pPr>
      <w:r>
        <w:rPr>
          <w:rFonts w:ascii="Arial" w:cs="Arial" w:eastAsia="Arial" w:hAnsi="Arial"/>
          <w:color w:val="221E1F"/>
          <w:sz w:val="22"/>
          <w:szCs w:val="22"/>
        </w:rPr>
        <w:t xml:space="preserve">The referral is appropriate for The Brain and Sleep Medical Centre Ltd's level of care</w:t>
      </w:r>
    </w:p>
    <w:p>
      <w:pPr>
        <w:pStyle w:val="ListParagraph"/>
        <w:numPr>
          <w:ilvl w:val="0"/>
          <w:numId w:val="2"/>
        </w:numPr>
        <w:spacing w:after="40" w:before="40"/>
      </w:pPr>
      <w:r>
        <w:rPr>
          <w:rFonts w:ascii="Arial" w:cs="Arial" w:eastAsia="Arial" w:hAnsi="Arial"/>
          <w:color w:val="221E1F"/>
          <w:sz w:val="22"/>
          <w:szCs w:val="22"/>
        </w:rPr>
        <w:t xml:space="preserve">The client's payment category has been confirmed and documented on the referral form</w:t>
      </w:r>
    </w:p>
    <w:p>
      <w:pPr>
        <w:spacing w:after="40" w:before="40"/>
      </w:pPr>
      <w:r>
        <w:t xml:space="preserve"/>
      </w:r>
    </w:p>
    <w:p>
      <w:pPr>
        <w:spacing w:after="80" w:before="280"/>
      </w:pPr>
      <w:r>
        <w:rPr>
          <w:rFonts w:ascii="Arial" w:cs="Arial" w:eastAsia="Arial" w:hAnsi="Arial"/>
          <w:b/>
          <w:bCs/>
          <w:color w:val="221E1F"/>
          <w:sz w:val="24"/>
          <w:szCs w:val="24"/>
        </w:rPr>
        <w:t xml:space="preserve">2.  The Brain and Sleep Medical Centre Ltd → BPG</w:t>
      </w:r>
    </w:p>
    <w:p>
      <w:pPr>
        <w:spacing w:after="60" w:before="60"/>
      </w:pPr>
      <w:r>
        <w:rPr>
          <w:rFonts w:ascii="Arial" w:cs="Arial" w:eastAsia="Arial" w:hAnsi="Arial"/>
          <w:color w:val="221E1F"/>
          <w:sz w:val="22"/>
          <w:szCs w:val="22"/>
        </w:rPr>
        <w:t xml:space="preserve">The Brain and Sleep Medical Centre Ltd may refer patients to BPG when they present with one or more of the following:</w:t>
      </w:r>
    </w:p>
    <w:p>
      <w:pPr>
        <w:pStyle w:val="ListParagraph"/>
        <w:numPr>
          <w:ilvl w:val="0"/>
          <w:numId w:val="2"/>
        </w:numPr>
        <w:spacing w:after="40" w:before="40"/>
      </w:pPr>
      <w:r>
        <w:rPr>
          <w:rFonts w:ascii="Arial" w:cs="Arial" w:eastAsia="Arial" w:hAnsi="Arial"/>
          <w:color w:val="221E1F"/>
          <w:sz w:val="22"/>
          <w:szCs w:val="22"/>
        </w:rPr>
        <w:t xml:space="preserve">Unstable housing or risk of homelessness</w:t>
      </w:r>
    </w:p>
    <w:p>
      <w:pPr>
        <w:pStyle w:val="ListParagraph"/>
        <w:numPr>
          <w:ilvl w:val="0"/>
          <w:numId w:val="2"/>
        </w:numPr>
        <w:spacing w:after="40" w:before="40"/>
      </w:pPr>
      <w:r>
        <w:rPr>
          <w:rFonts w:ascii="Arial" w:cs="Arial" w:eastAsia="Arial" w:hAnsi="Arial"/>
          <w:color w:val="221E1F"/>
          <w:sz w:val="22"/>
          <w:szCs w:val="22"/>
        </w:rPr>
        <w:t xml:space="preserve">Need for vocational or life skills support</w:t>
      </w:r>
    </w:p>
    <w:p>
      <w:pPr>
        <w:pStyle w:val="ListParagraph"/>
        <w:numPr>
          <w:ilvl w:val="0"/>
          <w:numId w:val="2"/>
        </w:numPr>
        <w:spacing w:after="40" w:before="40"/>
      </w:pPr>
      <w:r>
        <w:rPr>
          <w:rFonts w:ascii="Arial" w:cs="Arial" w:eastAsia="Arial" w:hAnsi="Arial"/>
          <w:color w:val="221E1F"/>
          <w:sz w:val="22"/>
          <w:szCs w:val="22"/>
        </w:rPr>
        <w:t xml:space="preserve">Legal issues requiring navigation assistance</w:t>
      </w:r>
    </w:p>
    <w:p>
      <w:pPr>
        <w:pStyle w:val="ListParagraph"/>
        <w:numPr>
          <w:ilvl w:val="0"/>
          <w:numId w:val="2"/>
        </w:numPr>
        <w:spacing w:after="40" w:before="40"/>
      </w:pPr>
      <w:r>
        <w:rPr>
          <w:rFonts w:ascii="Arial" w:cs="Arial" w:eastAsia="Arial" w:hAnsi="Arial"/>
          <w:color w:val="221E1F"/>
          <w:sz w:val="22"/>
          <w:szCs w:val="22"/>
        </w:rPr>
        <w:t xml:space="preserve">Limited social support or risk of community isolation</w:t>
      </w:r>
    </w:p>
    <w:p>
      <w:pPr>
        <w:pStyle w:val="ListParagraph"/>
        <w:numPr>
          <w:ilvl w:val="0"/>
          <w:numId w:val="2"/>
        </w:numPr>
        <w:spacing w:after="40" w:before="40"/>
      </w:pPr>
      <w:r>
        <w:rPr>
          <w:rFonts w:ascii="Arial" w:cs="Arial" w:eastAsia="Arial" w:hAnsi="Arial"/>
          <w:color w:val="221E1F"/>
          <w:sz w:val="22"/>
          <w:szCs w:val="22"/>
        </w:rPr>
        <w:t xml:space="preserve">Need for structured case management and follow-up after clinical care</w:t>
      </w:r>
    </w:p>
    <w:p>
      <w:pPr>
        <w:pStyle w:val="ListParagraph"/>
        <w:numPr>
          <w:ilvl w:val="0"/>
          <w:numId w:val="2"/>
        </w:numPr>
        <w:spacing w:after="40" w:before="40"/>
      </w:pPr>
      <w:r>
        <w:rPr>
          <w:rFonts w:ascii="Arial" w:cs="Arial" w:eastAsia="Arial" w:hAnsi="Arial"/>
          <w:color w:val="221E1F"/>
          <w:sz w:val="22"/>
          <w:szCs w:val="22"/>
        </w:rPr>
        <w:t xml:space="preserve">Mental health or social stabilization support needs alongside clinical treatment</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STEP-BY-STEP REFERRAL PROCESS</w:t>
      </w:r>
    </w:p>
    <w:p>
      <w:pP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2200"/>
        <w:gridCol w:w="1700"/>
        <w:gridCol w:w="1886"/>
      </w:tblGrid>
      <w:tr>
        <w:trPr>
          <w:tblHeader/>
        </w:trPr>
        <w:tc>
          <w:tcPr>
            <w:tcW w:type="dxa" w:w="56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34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Responsible Party</w:t>
            </w:r>
          </w:p>
        </w:tc>
        <w:tc>
          <w:tcPr>
            <w:tcW w:type="dxa" w:w="17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Timeline</w:t>
            </w:r>
          </w:p>
        </w:tc>
        <w:tc>
          <w:tcPr>
            <w:tcW w:type="dxa" w:w="1886"/>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Identify individual as referral candidate through case assessment or patient consultation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Referring organisation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Ongoing</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2</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Obtain written informed consent from the individual for referral and information sharing</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Referring organisation</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Before referral</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Consent form required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Complete the BPG Standard Referral Form, including confirmed payment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BPG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2 business days</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Payment category mandatory</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4</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For Category 2: attach written Payment Commitment Letter. For Category 3: submit Exceptional Case Request and await written approval before proceeding.</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BPG</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Same day as Step 3</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No service without confirmed payment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Submit completed referral form (and supporting documents) to The Brain and Sleep Medical Centre Ltd liaison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BPG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Same day as Step 3</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6</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Acknowledge receipt of referral and confirm next steps or appointment</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3 business days</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Conduct intake consultation with referred individual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7 business days of referral</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8</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Share intake outcome with BPG (with client consent)</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14 days of intake</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Consent required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Log referral in shared referral tracking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Both organisations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2 days of each step</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10</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30-day and 90-day follow-up on client progress</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Both organisations</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30 and 90 days post-referral</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bl>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PAYMENT ARRANGEMENTS — KEY PROCEDURES</w:t>
      </w:r>
    </w:p>
    <w:p>
      <w:pPr>
        <w:spacing w:after="60" w:before="60"/>
      </w:pPr>
      <w:r>
        <w:rPr>
          <w:rFonts w:ascii="Arial" w:cs="Arial" w:eastAsia="Arial" w:hAnsi="Arial"/>
          <w:color w:val="221E1F"/>
          <w:sz w:val="22"/>
          <w:szCs w:val="22"/>
        </w:rPr>
        <w:t xml:space="preserve">All BPG referrals must include a confirmed payment category. No referral will proceed to service delivery without payment arrangements confirmed in writing.</w:t>
      </w:r>
    </w:p>
    <w:p>
      <w:pPr>
        <w:spacing w:after="40" w:before="40"/>
      </w:pPr>
      <w:r>
        <w:t xml:space="preserve"/>
      </w:r>
    </w:p>
    <w:p>
      <w:pPr>
        <w:pStyle w:val="ListParagraph"/>
        <w:numPr>
          <w:ilvl w:val="0"/>
          <w:numId w:val="2"/>
        </w:numPr>
        <w:spacing w:after="40" w:before="40"/>
      </w:pPr>
      <w:r>
        <w:rPr>
          <w:rFonts w:ascii="Arial" w:cs="Arial" w:eastAsia="Arial" w:hAnsi="Arial"/>
          <w:color w:val="221E1F"/>
          <w:sz w:val="22"/>
          <w:szCs w:val="22"/>
        </w:rPr>
        <w:t xml:space="preserve">Category 1 — Fully Paying: Client meets the full cost of services. Confirmed on referral form. No further action required from BPG.</w:t>
      </w:r>
    </w:p>
    <w:p>
      <w:pPr>
        <w:pStyle w:val="ListParagraph"/>
        <w:numPr>
          <w:ilvl w:val="0"/>
          <w:numId w:val="2"/>
        </w:numPr>
        <w:spacing w:after="40" w:before="40"/>
      </w:pPr>
      <w:r>
        <w:rPr>
          <w:rFonts w:ascii="Arial" w:cs="Arial" w:eastAsia="Arial" w:hAnsi="Arial"/>
          <w:color w:val="221E1F"/>
          <w:sz w:val="22"/>
          <w:szCs w:val="22"/>
        </w:rPr>
        <w:t xml:space="preserve">Category 2 — Partially Supported: BPG co-funds a portion. BPG must attach a written Payment Commitment Letter specifying contribution amount and payment timeline at the time of referral.</w:t>
      </w:r>
    </w:p>
    <w:p>
      <w:pPr>
        <w:pStyle w:val="ListParagraph"/>
        <w:numPr>
          <w:ilvl w:val="0"/>
          <w:numId w:val="2"/>
        </w:numPr>
        <w:spacing w:after="40" w:before="40"/>
      </w:pPr>
      <w:r>
        <w:rPr>
          <w:rFonts w:ascii="Arial" w:cs="Arial" w:eastAsia="Arial" w:hAnsi="Arial"/>
          <w:color w:val="221E1F"/>
          <w:sz w:val="22"/>
          <w:szCs w:val="22"/>
        </w:rPr>
        <w:t xml:space="preserve">Category 3 — Exceptional Cases: Acute need, no financial capacity. BPG must submit a written Exceptional Case Request to The Brain and Sleep Medical Centre Ltd liaison for prior written approval before the referral is processed. Maximum of 1–2 cases during the pilot phase.</w:t>
      </w:r>
    </w:p>
    <w:p>
      <w:pPr>
        <w:spacing w:after="40" w:before="40"/>
      </w:pPr>
      <w:r>
        <w:t xml:space="preserve"/>
      </w:r>
    </w:p>
    <w:p>
      <w:pPr>
        <w:spacing w:after="60" w:before="60"/>
      </w:pPr>
      <w:r>
        <w:rPr>
          <w:rFonts w:ascii="Arial" w:cs="Arial" w:eastAsia="Arial" w:hAnsi="Arial"/>
          <w:color w:val="221E1F"/>
          <w:sz w:val="22"/>
          <w:szCs w:val="22"/>
        </w:rPr>
        <w:t xml:space="preserve">Neither party will be held financially liable for costs not confirmed in writing in advance of service delivery.</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REFERRAL FORM — MINIMUM REQUIRED INFORMATION</w:t>
      </w:r>
    </w:p>
    <w:p>
      <w:pPr>
        <w:pStyle w:val="ListParagraph"/>
        <w:numPr>
          <w:ilvl w:val="0"/>
          <w:numId w:val="2"/>
        </w:numPr>
        <w:spacing w:after="40" w:before="40"/>
      </w:pPr>
      <w:r>
        <w:rPr>
          <w:rFonts w:ascii="Arial" w:cs="Arial" w:eastAsia="Arial" w:hAnsi="Arial"/>
          <w:color w:val="221E1F"/>
          <w:sz w:val="22"/>
          <w:szCs w:val="22"/>
        </w:rPr>
        <w:t xml:space="preserve">Client full name and date of birth</w:t>
      </w:r>
    </w:p>
    <w:p>
      <w:pPr>
        <w:pStyle w:val="ListParagraph"/>
        <w:numPr>
          <w:ilvl w:val="0"/>
          <w:numId w:val="2"/>
        </w:numPr>
        <w:spacing w:after="40" w:before="40"/>
      </w:pPr>
      <w:r>
        <w:rPr>
          <w:rFonts w:ascii="Arial" w:cs="Arial" w:eastAsia="Arial" w:hAnsi="Arial"/>
          <w:color w:val="221E1F"/>
          <w:sz w:val="22"/>
          <w:szCs w:val="22"/>
        </w:rPr>
        <w:t xml:space="preserve">Contact information (phone / address)</w:t>
      </w:r>
    </w:p>
    <w:p>
      <w:pPr>
        <w:pStyle w:val="ListParagraph"/>
        <w:numPr>
          <w:ilvl w:val="0"/>
          <w:numId w:val="2"/>
        </w:numPr>
        <w:spacing w:after="40" w:before="40"/>
      </w:pPr>
      <w:r>
        <w:rPr>
          <w:rFonts w:ascii="Arial" w:cs="Arial" w:eastAsia="Arial" w:hAnsi="Arial"/>
          <w:color w:val="221E1F"/>
          <w:sz w:val="22"/>
          <w:szCs w:val="22"/>
        </w:rPr>
        <w:t xml:space="preserve">Reason for referral and presenting needs</w:t>
      </w:r>
    </w:p>
    <w:p>
      <w:pPr>
        <w:pStyle w:val="ListParagraph"/>
        <w:numPr>
          <w:ilvl w:val="0"/>
          <w:numId w:val="2"/>
        </w:numPr>
        <w:spacing w:after="40" w:before="40"/>
      </w:pPr>
      <w:r>
        <w:rPr>
          <w:rFonts w:ascii="Arial" w:cs="Arial" w:eastAsia="Arial" w:hAnsi="Arial"/>
          <w:color w:val="221E1F"/>
          <w:sz w:val="22"/>
          <w:szCs w:val="22"/>
        </w:rPr>
        <w:t xml:space="preserve">Summary of current circumstances and any urgent concerns</w:t>
      </w:r>
    </w:p>
    <w:p>
      <w:pPr>
        <w:pStyle w:val="ListParagraph"/>
        <w:numPr>
          <w:ilvl w:val="0"/>
          <w:numId w:val="2"/>
        </w:numPr>
        <w:spacing w:after="40" w:before="40"/>
      </w:pPr>
      <w:r>
        <w:rPr>
          <w:rFonts w:ascii="Arial" w:cs="Arial" w:eastAsia="Arial" w:hAnsi="Arial"/>
          <w:color w:val="221E1F"/>
          <w:sz w:val="22"/>
          <w:szCs w:val="22"/>
        </w:rPr>
        <w:t xml:space="preserve">Services currently being received (if any)</w:t>
      </w:r>
    </w:p>
    <w:p>
      <w:pPr>
        <w:pStyle w:val="ListParagraph"/>
        <w:numPr>
          <w:ilvl w:val="0"/>
          <w:numId w:val="2"/>
        </w:numPr>
        <w:spacing w:after="40" w:before="40"/>
      </w:pPr>
      <w:r>
        <w:rPr>
          <w:rFonts w:ascii="Arial" w:cs="Arial" w:eastAsia="Arial" w:hAnsi="Arial"/>
          <w:color w:val="221E1F"/>
          <w:sz w:val="22"/>
          <w:szCs w:val="22"/>
        </w:rPr>
        <w:t xml:space="preserve">Confirmed payment category (Category 1, 2, or 3)</w:t>
      </w:r>
    </w:p>
    <w:p>
      <w:pPr>
        <w:pStyle w:val="ListParagraph"/>
        <w:numPr>
          <w:ilvl w:val="0"/>
          <w:numId w:val="2"/>
        </w:numPr>
        <w:spacing w:after="40" w:before="40"/>
      </w:pPr>
      <w:r>
        <w:rPr>
          <w:rFonts w:ascii="Arial" w:cs="Arial" w:eastAsia="Arial" w:hAnsi="Arial"/>
          <w:color w:val="221E1F"/>
          <w:sz w:val="22"/>
          <w:szCs w:val="22"/>
        </w:rPr>
        <w:t xml:space="preserve">For Category 2: attached Payment Commitment Letter</w:t>
      </w:r>
    </w:p>
    <w:p>
      <w:pPr>
        <w:pStyle w:val="ListParagraph"/>
        <w:numPr>
          <w:ilvl w:val="0"/>
          <w:numId w:val="2"/>
        </w:numPr>
        <w:spacing w:after="40" w:before="40"/>
      </w:pPr>
      <w:r>
        <w:rPr>
          <w:rFonts w:ascii="Arial" w:cs="Arial" w:eastAsia="Arial" w:hAnsi="Arial"/>
          <w:color w:val="221E1F"/>
          <w:sz w:val="22"/>
          <w:szCs w:val="22"/>
        </w:rPr>
        <w:t xml:space="preserve">For Category 3: Exceptional Case Request submitted and written approval received</w:t>
      </w:r>
    </w:p>
    <w:p>
      <w:pPr>
        <w:pStyle w:val="ListParagraph"/>
        <w:numPr>
          <w:ilvl w:val="0"/>
          <w:numId w:val="2"/>
        </w:numPr>
        <w:spacing w:after="40" w:before="40"/>
      </w:pPr>
      <w:r>
        <w:rPr>
          <w:rFonts w:ascii="Arial" w:cs="Arial" w:eastAsia="Arial" w:hAnsi="Arial"/>
          <w:color w:val="221E1F"/>
          <w:sz w:val="22"/>
          <w:szCs w:val="22"/>
        </w:rPr>
        <w:t xml:space="preserve">Name and contact of referring BPG case manager</w:t>
      </w:r>
    </w:p>
    <w:p>
      <w:pPr>
        <w:pStyle w:val="ListParagraph"/>
        <w:numPr>
          <w:ilvl w:val="0"/>
          <w:numId w:val="2"/>
        </w:numPr>
        <w:spacing w:after="40" w:before="40"/>
      </w:pPr>
      <w:r>
        <w:rPr>
          <w:rFonts w:ascii="Arial" w:cs="Arial" w:eastAsia="Arial" w:hAnsi="Arial"/>
          <w:color w:val="221E1F"/>
          <w:sz w:val="22"/>
          <w:szCs w:val="22"/>
        </w:rPr>
        <w:t xml:space="preserve">Signed client consent form</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DESIGNATED LIAISONS</w:t>
      </w:r>
    </w:p>
    <w:p>
      <w:pP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tblHeader/>
        </w:trPr>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3873"/>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The BeaconPath Ghana</w:t>
            </w:r>
          </w:p>
        </w:tc>
        <w:tc>
          <w:tcPr>
            <w:tcW w:type="dxa" w:w="3873"/>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The Brain and Sleep Medical Centre Ltd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Name</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Enam Egyir</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Patience Asamoah</w:t>
            </w:r>
          </w:p>
        </w:tc>
      </w:tr>
      <w:tr>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Title</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Executive Director</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General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Email</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ename@beaconnewbeginnings.org</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finance@thebraincentregh.com  |  ceo@thebraincentregh.com</w:t>
            </w:r>
          </w:p>
        </w:tc>
      </w:tr>
      <w:tr>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Phone</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011233551710100</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050 330 8191  |  033 209 5326  |  033 209 5330</w:t>
            </w:r>
          </w:p>
        </w:tc>
      </w:tr>
    </w:tbl>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TRACKING AND REVIEW</w:t>
      </w:r>
    </w:p>
    <w:p>
      <w:pPr>
        <w:spacing w:after="60" w:before="60"/>
      </w:pPr>
      <w:r>
        <w:rPr>
          <w:rFonts w:ascii="Arial" w:cs="Arial" w:eastAsia="Arial" w:hAnsi="Arial"/>
          <w:color w:val="221E1F"/>
          <w:sz w:val="22"/>
          <w:szCs w:val="22"/>
        </w:rPr>
        <w:t xml:space="preserve">Both parties will maintain a shared referral log capturing:</w:t>
      </w:r>
    </w:p>
    <w:p>
      <w:pPr>
        <w:pStyle w:val="ListParagraph"/>
        <w:numPr>
          <w:ilvl w:val="0"/>
          <w:numId w:val="2"/>
        </w:numPr>
        <w:spacing w:after="40" w:before="40"/>
      </w:pPr>
      <w:r>
        <w:rPr>
          <w:rFonts w:ascii="Arial" w:cs="Arial" w:eastAsia="Arial" w:hAnsi="Arial"/>
          <w:color w:val="221E1F"/>
          <w:sz w:val="22"/>
          <w:szCs w:val="22"/>
        </w:rPr>
        <w:t xml:space="preserve">Date of referral and direction</w:t>
      </w:r>
    </w:p>
    <w:p>
      <w:pPr>
        <w:pStyle w:val="ListParagraph"/>
        <w:numPr>
          <w:ilvl w:val="0"/>
          <w:numId w:val="2"/>
        </w:numPr>
        <w:spacing w:after="40" w:before="40"/>
      </w:pPr>
      <w:r>
        <w:rPr>
          <w:rFonts w:ascii="Arial" w:cs="Arial" w:eastAsia="Arial" w:hAnsi="Arial"/>
          <w:color w:val="221E1F"/>
          <w:sz w:val="22"/>
          <w:szCs w:val="22"/>
        </w:rPr>
        <w:t xml:space="preserve">Client identifier (anonymized as agreed)</w:t>
      </w:r>
    </w:p>
    <w:p>
      <w:pPr>
        <w:pStyle w:val="ListParagraph"/>
        <w:numPr>
          <w:ilvl w:val="0"/>
          <w:numId w:val="2"/>
        </w:numPr>
        <w:spacing w:after="40" w:before="40"/>
      </w:pPr>
      <w:r>
        <w:rPr>
          <w:rFonts w:ascii="Arial" w:cs="Arial" w:eastAsia="Arial" w:hAnsi="Arial"/>
          <w:color w:val="221E1F"/>
          <w:sz w:val="22"/>
          <w:szCs w:val="22"/>
        </w:rPr>
        <w:t xml:space="preserve">Confirmed payment category and payment arrangements</w:t>
      </w:r>
    </w:p>
    <w:p>
      <w:pPr>
        <w:pStyle w:val="ListParagraph"/>
        <w:numPr>
          <w:ilvl w:val="0"/>
          <w:numId w:val="2"/>
        </w:numPr>
        <w:spacing w:after="40" w:before="40"/>
      </w:pPr>
      <w:r>
        <w:rPr>
          <w:rFonts w:ascii="Arial" w:cs="Arial" w:eastAsia="Arial" w:hAnsi="Arial"/>
          <w:color w:val="221E1F"/>
          <w:sz w:val="22"/>
          <w:szCs w:val="22"/>
        </w:rPr>
        <w:t xml:space="preserve">Outcome of intake or consultation</w:t>
      </w:r>
    </w:p>
    <w:p>
      <w:pPr>
        <w:pStyle w:val="ListParagraph"/>
        <w:numPr>
          <w:ilvl w:val="0"/>
          <w:numId w:val="2"/>
        </w:numPr>
        <w:spacing w:after="40" w:before="40"/>
      </w:pPr>
      <w:r>
        <w:rPr>
          <w:rFonts w:ascii="Arial" w:cs="Arial" w:eastAsia="Arial" w:hAnsi="Arial"/>
          <w:color w:val="221E1F"/>
          <w:sz w:val="22"/>
          <w:szCs w:val="22"/>
        </w:rPr>
        <w:t xml:space="preserve">30-day and 90-day follow-up notes</w:t>
      </w:r>
    </w:p>
    <w:p>
      <w:pPr>
        <w:spacing w:after="40" w:before="40"/>
      </w:pPr>
      <w:r>
        <w:t xml:space="preserve"/>
      </w:r>
    </w:p>
    <w:p>
      <w:pPr>
        <w:spacing w:after="60" w:before="60"/>
      </w:pPr>
      <w:r>
        <w:rPr>
          <w:rFonts w:ascii="Arial" w:cs="Arial" w:eastAsia="Arial" w:hAnsi="Arial"/>
          <w:color w:val="221E1F"/>
          <w:sz w:val="22"/>
          <w:szCs w:val="22"/>
        </w:rPr>
        <w:t xml:space="preserve">The referral log will be reviewed at the 45-day mid-pilot check-in and the 90-day formal pilot review, and at each partnership meeting thereafter.</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AMENDMENTS</w:t>
      </w:r>
    </w:p>
    <w:p>
      <w:pPr>
        <w:spacing w:after="60" w:before="60"/>
      </w:pPr>
      <w:r>
        <w:rPr>
          <w:rFonts w:ascii="Arial" w:cs="Arial" w:eastAsia="Arial" w:hAnsi="Arial"/>
          <w:color w:val="221E1F"/>
          <w:sz w:val="22"/>
          <w:szCs w:val="22"/>
        </w:rPr>
        <w:t xml:space="preserve">This document may be updated by mutual written agreement of both parties. Any updates must be signed by the designated liaisons of both organizations.</w:t>
      </w:r>
    </w:p>
    <w:p>
      <w:pPr>
        <w:spacing w:after="40" w:before="40"/>
      </w:pPr>
      <w:r>
        <w:t xml:space="preserve"/>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AGREED AND ADOPTED AS ANNEX B TO THE MOU</w:t>
      </w:r>
    </w:p>
    <w:p>
      <w:pPr>
        <w:spacing w:after="40" w:before="40"/>
      </w:pPr>
      <w:r>
        <w:t xml:space="preserve"/>
      </w:r>
    </w:p>
    <w:p>
      <w:pPr>
        <w:spacing w:after="60" w:before="60"/>
      </w:pPr>
      <w:r>
        <w:rPr>
          <w:rFonts w:ascii="Arial" w:cs="Arial" w:eastAsia="Arial" w:hAnsi="Arial"/>
          <w:color w:val="221E1F"/>
          <w:sz w:val="22"/>
          <w:szCs w:val="22"/>
        </w:rPr>
        <w:t xml:space="preserve">BPG Liaison: _______________________________    Date: _______________</w:t>
      </w:r>
    </w:p>
    <w:p>
      <w:pPr>
        <w:spacing w:after="40" w:before="40"/>
      </w:pPr>
      <w:r>
        <w:t xml:space="preserve"/>
      </w:r>
    </w:p>
    <w:p>
      <w:pPr>
        <w:spacing w:after="60" w:before="60"/>
      </w:pPr>
      <w:r>
        <w:rPr>
          <w:rFonts w:ascii="Arial" w:cs="Arial" w:eastAsia="Arial" w:hAnsi="Arial"/>
          <w:color w:val="221E1F"/>
          <w:sz w:val="22"/>
          <w:szCs w:val="22"/>
        </w:rPr>
        <w:t xml:space="preserve">The Brain and Sleep Medical Centre Ltd Liaison: _______________________________    Date: 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2026-04-09T11:55:31.542Z</dcterms:created>
  <dcterms:modified xsi:type="dcterms:W3CDTF">2026-04-09T11:55:31.543Z</dcterms:modified>
</cp:coreProperties>
</file>

<file path=docProps/custom.xml><?xml version="1.0" encoding="utf-8"?>
<Properties xmlns="http://schemas.openxmlformats.org/officeDocument/2006/custom-properties" xmlns:vt="http://schemas.openxmlformats.org/officeDocument/2006/docPropsVTypes"/>
</file>