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2F5496"/>
          <w:sz w:val="36"/>
        </w:rPr>
        <w:t>ENAM EGYIR</w:t>
      </w:r>
    </w:p>
    <w:p>
      <w:pPr>
        <w:spacing w:before="40" w:after="80"/>
        <w:jc w:val="center"/>
      </w:pPr>
      <w:r>
        <w:rPr>
          <w:rFonts w:ascii="Calibri" w:hAnsi="Calibri"/>
          <w:b w:val="0"/>
          <w:sz w:val="20"/>
        </w:rPr>
        <w:t>Columbus, OH  |  614.377.6633  |  linkedin.com/in/enamegyir  |  enam.egyir@gmail.com</w:t>
      </w:r>
    </w:p>
    <w:p>
      <w:pPr>
        <w:spacing w:after="40"/>
        <w:jc w:val="center"/>
      </w:pPr>
      <w:r>
        <w:rPr>
          <w:rFonts w:ascii="Calibri" w:hAnsi="Calibri"/>
          <w:b/>
          <w:sz w:val="26"/>
        </w:rPr>
        <w:t>RSA Archer Developer / Technical Consultant</w:t>
      </w:r>
    </w:p>
    <w:p>
      <w:pPr>
        <w:spacing w:after="80"/>
        <w:jc w:val="center"/>
      </w:pPr>
      <w:r>
        <w:rPr>
          <w:rFonts w:ascii="Calibri" w:hAnsi="Calibri"/>
          <w:b w:val="0"/>
          <w:sz w:val="20"/>
        </w:rPr>
        <w:t>Architecting, Configuring, and Optimizing Enterprise GRC Platforms in Regulated Financial Environments</w:t>
      </w:r>
    </w:p>
    <w:p>
      <w:pPr>
        <w:spacing w:before="40" w:after="40"/>
        <w:pBdr>
          <w:bottom w:val="single" w:sz="6" w:space="1" w:color="2F5496"/>
        </w:pBdr>
      </w:pPr>
    </w:p>
    <w:p>
      <w:pPr>
        <w:spacing w:before="80" w:after="40"/>
      </w:pPr>
      <w:r>
        <w:rPr>
          <w:rFonts w:ascii="Calibri" w:hAnsi="Calibri"/>
          <w:b/>
          <w:color w:val="2F5496"/>
          <w:sz w:val="20"/>
        </w:rPr>
        <w:t>PROFESSIONAL SUMMARY</w:t>
      </w:r>
    </w:p>
    <w:p>
      <w:pPr>
        <w:spacing w:before="40" w:after="80"/>
      </w:pPr>
      <w:r>
        <w:rPr>
          <w:rFonts w:ascii="Calibri" w:hAnsi="Calibri"/>
          <w:b w:val="0"/>
          <w:sz w:val="20"/>
        </w:rPr>
        <w:t>RSA Archer Certified Professional with 10+ years of hands-on experience architecting, configuring, and optimizing RSA Archer GRC platforms across large-scale regulated financial institutions. Deep expertise in Archer architecture, data model, and core configurations including custom objects, workflows, access controls, and system integrations via REST APIs. Proven track record delivering end-to-end Archer solutions across RCSA, Issues Management, Risk Register, Compliance, and Audit use cases, with strong proficiency in Archer Next Gen UI. Experienced in full-cycle Archer implementations, platform upgrades, data migrations, troubleshooting, and performance tuning. Independent contributor with strong communication and stakeholder management skills in complex, compliance-driven environments.</w:t>
      </w:r>
    </w:p>
    <w:p>
      <w:pPr>
        <w:spacing w:before="40" w:after="40"/>
        <w:pBdr>
          <w:bottom w:val="single" w:sz="6" w:space="1" w:color="2F5496"/>
        </w:pBdr>
      </w:pPr>
    </w:p>
    <w:p>
      <w:pPr>
        <w:spacing w:before="80" w:after="40"/>
      </w:pPr>
      <w:r>
        <w:rPr>
          <w:rFonts w:ascii="Calibri" w:hAnsi="Calibri"/>
          <w:b/>
          <w:color w:val="2F5496"/>
          <w:sz w:val="20"/>
        </w:rPr>
        <w:t>TECHNICAL SKILLS</w:t>
      </w:r>
    </w:p>
    <w:p>
      <w:pPr>
        <w:spacing w:before="20" w:after="20"/>
      </w:pPr>
      <w:r>
        <w:rPr>
          <w:rFonts w:ascii="Calibri" w:hAnsi="Calibri"/>
          <w:b/>
          <w:sz w:val="20"/>
        </w:rPr>
        <w:t>RSA Archer GRC:</w:t>
      </w:r>
      <w:r>
        <w:rPr>
          <w:rFonts w:ascii="Calibri" w:hAnsi="Calibri"/>
          <w:b w:val="0"/>
          <w:sz w:val="20"/>
        </w:rPr>
        <w:t xml:space="preserve"> Architecture &amp; Data Model | Core Configurations | Custom Objects &amp; Applications | Workflows &amp; Access Controls | Next Gen UI | RCSA | Issues Management | Risk Register | Compliance Management | Audit Management</w:t>
      </w:r>
    </w:p>
    <w:p>
      <w:pPr>
        <w:spacing w:before="20" w:after="20"/>
      </w:pPr>
      <w:r>
        <w:rPr>
          <w:rFonts w:ascii="Calibri" w:hAnsi="Calibri"/>
          <w:b/>
          <w:sz w:val="20"/>
        </w:rPr>
        <w:t>System Integration &amp; APIs:</w:t>
      </w:r>
      <w:r>
        <w:rPr>
          <w:rFonts w:ascii="Calibri" w:hAnsi="Calibri"/>
          <w:b w:val="0"/>
          <w:sz w:val="20"/>
        </w:rPr>
        <w:t xml:space="preserve"> REST API Development &amp; Integration | ServiceNow Integration | Snowflake Connectivity | Enterprise Data Migration | Third-Party Platform Integration</w:t>
      </w:r>
    </w:p>
    <w:p>
      <w:pPr>
        <w:spacing w:before="20" w:after="20"/>
      </w:pPr>
      <w:r>
        <w:rPr>
          <w:rFonts w:ascii="Calibri" w:hAnsi="Calibri"/>
          <w:b/>
          <w:sz w:val="20"/>
        </w:rPr>
        <w:t>GRC &amp; Risk:</w:t>
      </w:r>
      <w:r>
        <w:rPr>
          <w:rFonts w:ascii="Calibri" w:hAnsi="Calibri"/>
          <w:b w:val="0"/>
          <w:sz w:val="20"/>
        </w:rPr>
        <w:t xml:space="preserve"> GRC Process Design | Regulatory Compliance | Risk Framework Implementation | Performance Tuning | Troubleshooting &amp; Debugging | Regulated Environment Support</w:t>
      </w:r>
    </w:p>
    <w:p>
      <w:pPr>
        <w:spacing w:before="20" w:after="20"/>
      </w:pPr>
      <w:r>
        <w:rPr>
          <w:rFonts w:ascii="Calibri" w:hAnsi="Calibri"/>
          <w:b/>
          <w:sz w:val="20"/>
        </w:rPr>
        <w:t>Tools &amp; Technologies:</w:t>
      </w:r>
      <w:r>
        <w:rPr>
          <w:rFonts w:ascii="Calibri" w:hAnsi="Calibri"/>
          <w:b w:val="0"/>
          <w:sz w:val="20"/>
        </w:rPr>
        <w:t xml:space="preserve"> SQL | Tableau | Jira | Salesforce | Agile/Scrum | Kanban</w:t>
      </w:r>
    </w:p>
    <w:p>
      <w:pPr>
        <w:spacing w:before="40" w:after="40"/>
        <w:pBdr>
          <w:bottom w:val="single" w:sz="6" w:space="1" w:color="2F5496"/>
        </w:pBdr>
      </w:pPr>
    </w:p>
    <w:p>
      <w:pPr>
        <w:spacing w:before="80" w:after="40"/>
      </w:pPr>
      <w:r>
        <w:rPr>
          <w:rFonts w:ascii="Calibri" w:hAnsi="Calibri"/>
          <w:b/>
          <w:color w:val="2F5496"/>
          <w:sz w:val="20"/>
        </w:rPr>
        <w:t>PROFESSIONAL EXPERIENCE</w:t>
      </w:r>
    </w:p>
    <w:p>
      <w:pPr>
        <w:spacing w:before="120" w:after="0"/>
      </w:pPr>
      <w:r>
        <w:rPr>
          <w:rFonts w:ascii="Calibri" w:hAnsi="Calibri"/>
          <w:b/>
          <w:sz w:val="22"/>
        </w:rPr>
        <w:t>COMERICA BANK, Detroit, MI</w:t>
      </w:r>
      <w:r>
        <w:rPr>
          <w:rFonts w:ascii="Calibri" w:hAnsi="Calibri"/>
          <w:b w:val="0"/>
          <w:sz w:val="20"/>
        </w:rPr>
        <w:t xml:space="preserve">   07/2022 – 02/2026</w:t>
      </w:r>
    </w:p>
    <w:p>
      <w:pPr>
        <w:spacing w:before="0" w:after="60"/>
      </w:pPr>
      <w:r>
        <w:rPr>
          <w:rFonts w:ascii="Calibri" w:hAnsi="Calibri"/>
          <w:b/>
          <w:sz w:val="20"/>
        </w:rPr>
        <w:t>RSA Archer Technical Lead / Platform Owner  (Remote)</w:t>
      </w:r>
    </w:p>
    <w:p>
      <w:pPr>
        <w:spacing w:before="40" w:after="60"/>
      </w:pPr>
      <w:r>
        <w:rPr>
          <w:rFonts w:ascii="Calibri" w:hAnsi="Calibri"/>
          <w:b w:val="0"/>
          <w:sz w:val="20"/>
        </w:rPr>
        <w:t>Served as primary RSA Archer technical lead for a major regulated financial institution, owning platform architecture, custom object development, core configurations, REST API integrations, and performance optimization. Collaborated with information security, compliance, and risk teams to translate business requirements into working Archer solutions, while managing vendor relationships and third-party integrations to extend GRC platform capabilities.</w:t>
      </w:r>
    </w:p>
    <w:p>
      <w:pPr>
        <w:pStyle w:val="ListBullet"/>
        <w:spacing w:before="20" w:after="20"/>
        <w:ind w:left="288"/>
      </w:pPr>
      <w:r>
        <w:rPr>
          <w:rFonts w:ascii="Calibri" w:hAnsi="Calibri"/>
          <w:b w:val="0"/>
          <w:sz w:val="20"/>
        </w:rPr>
        <w:t>Architected and configured custom Archer applications, objects, workflows, and access controls supporting RCSA, Issues Management, Risk Register, and Compliance use cases — improving operational efficiency by 30%.</w:t>
      </w:r>
    </w:p>
    <w:p>
      <w:pPr>
        <w:pStyle w:val="ListBullet"/>
        <w:spacing w:before="20" w:after="20"/>
        <w:ind w:left="288"/>
      </w:pPr>
      <w:r>
        <w:rPr>
          <w:rFonts w:ascii="Calibri" w:hAnsi="Calibri"/>
          <w:b w:val="0"/>
          <w:sz w:val="20"/>
        </w:rPr>
        <w:t>Built and maintained REST API integrations connecting Archer with enterprise platforms, enabling real-time data exchange and eliminating manual data transfer bottlenecks.</w:t>
      </w:r>
    </w:p>
    <w:p>
      <w:pPr>
        <w:pStyle w:val="ListBullet"/>
        <w:spacing w:before="20" w:after="20"/>
        <w:ind w:left="288"/>
      </w:pPr>
      <w:r>
        <w:rPr>
          <w:rFonts w:ascii="Calibri" w:hAnsi="Calibri"/>
          <w:b w:val="0"/>
          <w:sz w:val="20"/>
        </w:rPr>
        <w:t>Led migration to Archer Next Gen UI, configuring updated interface components and validating end-to-end functionality across all active use cases.</w:t>
      </w:r>
    </w:p>
    <w:p>
      <w:pPr>
        <w:pStyle w:val="ListBullet"/>
        <w:spacing w:before="20" w:after="20"/>
        <w:ind w:left="288"/>
      </w:pPr>
      <w:r>
        <w:rPr>
          <w:rFonts w:ascii="Calibri" w:hAnsi="Calibri"/>
          <w:b w:val="0"/>
          <w:sz w:val="20"/>
        </w:rPr>
        <w:t>Troubleshot and resolved Archer platform issues including data model conflicts, integration failures, and performance degradation — independently diagnosing root causes and delivering timely fixes.</w:t>
      </w:r>
    </w:p>
    <w:p>
      <w:pPr>
        <w:pStyle w:val="ListBullet"/>
        <w:spacing w:before="20" w:after="20"/>
        <w:ind w:left="288"/>
      </w:pPr>
      <w:r>
        <w:rPr>
          <w:rFonts w:ascii="Calibri" w:hAnsi="Calibri"/>
          <w:b w:val="0"/>
          <w:sz w:val="20"/>
        </w:rPr>
        <w:t>Cut manual processes 40% by identifying and implementing automation opportunities within Archer workflows and connected enterprise systems.</w:t>
      </w:r>
    </w:p>
    <w:p>
      <w:pPr>
        <w:pStyle w:val="ListBullet"/>
        <w:spacing w:before="20" w:after="20"/>
        <w:ind w:left="288"/>
      </w:pPr>
      <w:r>
        <w:rPr>
          <w:rFonts w:ascii="Calibri" w:hAnsi="Calibri"/>
          <w:b w:val="0"/>
          <w:sz w:val="20"/>
        </w:rPr>
        <w:t>Built Archer and Tableau risk dashboards consumed by board-level leadership to review GRC posture and inform strategic decisions.</w:t>
      </w:r>
    </w:p>
    <w:p>
      <w:pPr>
        <w:spacing w:before="120" w:after="0"/>
      </w:pPr>
      <w:r>
        <w:rPr>
          <w:rFonts w:ascii="Calibri" w:hAnsi="Calibri"/>
          <w:b/>
          <w:sz w:val="22"/>
        </w:rPr>
        <w:t>HUNTINGTON NATIONAL BANK, Columbus, OH</w:t>
      </w:r>
      <w:r>
        <w:rPr>
          <w:rFonts w:ascii="Calibri" w:hAnsi="Calibri"/>
          <w:b w:val="0"/>
          <w:sz w:val="20"/>
        </w:rPr>
        <w:t xml:space="preserve">   08/2016 – 05/2022</w:t>
      </w:r>
    </w:p>
    <w:p>
      <w:pPr>
        <w:spacing w:before="0" w:after="60"/>
      </w:pPr>
      <w:r>
        <w:rPr>
          <w:rFonts w:ascii="Calibri" w:hAnsi="Calibri"/>
          <w:b/>
          <w:sz w:val="20"/>
        </w:rPr>
        <w:t>Senior RSA Archer Technical Consultant / GRC Platform Lead</w:t>
      </w:r>
    </w:p>
    <w:p>
      <w:pPr>
        <w:spacing w:before="40" w:after="60"/>
      </w:pPr>
      <w:r>
        <w:rPr>
          <w:rFonts w:ascii="Calibri" w:hAnsi="Calibri"/>
          <w:b w:val="0"/>
          <w:sz w:val="20"/>
        </w:rPr>
        <w:t>Primary technical lead for an enterprise-wide RSA Archer Integrated GRC Platform implementation across a large regulated banking institution. Architected and configured Archer solutions spanning multiple use cases, directed full-cycle data migration during a bank merger, managed platform upgrades, and delivered continuous iterative enhancements across multiple concurrent business unit workstreams in a complex, compliance-driven environment.</w:t>
      </w:r>
    </w:p>
    <w:p>
      <w:pPr>
        <w:pStyle w:val="ListBullet"/>
        <w:spacing w:before="20" w:after="20"/>
        <w:ind w:left="288"/>
      </w:pPr>
      <w:r>
        <w:rPr>
          <w:rFonts w:ascii="Calibri" w:hAnsi="Calibri"/>
          <w:b w:val="0"/>
          <w:sz w:val="20"/>
        </w:rPr>
        <w:t>Designed and implemented Archer applications, workflows, and configurations across RCSA, Issues Management, Risk Register, Compliance, and Audit use cases — reducing processing time 25%, increasing data security 79%, and boosting data availability 56%.</w:t>
      </w:r>
    </w:p>
    <w:p>
      <w:pPr>
        <w:pStyle w:val="ListBullet"/>
        <w:spacing w:before="20" w:after="20"/>
        <w:ind w:left="288"/>
      </w:pPr>
      <w:r>
        <w:rPr>
          <w:rFonts w:ascii="Calibri" w:hAnsi="Calibri"/>
          <w:b w:val="0"/>
          <w:sz w:val="20"/>
        </w:rPr>
        <w:t>Led full-cycle Archer data migration during bank merger integration, consolidating acquired company data into the unified Archer risk platform while maintaining complete data integrity throughout the transition.</w:t>
      </w:r>
    </w:p>
    <w:p>
      <w:pPr>
        <w:pStyle w:val="ListBullet"/>
        <w:spacing w:before="20" w:after="20"/>
        <w:ind w:left="288"/>
      </w:pPr>
      <w:r>
        <w:rPr>
          <w:rFonts w:ascii="Calibri" w:hAnsi="Calibri"/>
          <w:b w:val="0"/>
          <w:sz w:val="20"/>
        </w:rPr>
        <w:t>Managed Archer platform upgrades end-to-end, including pre-upgrade testing, configuration migration, and post-upgrade validation in a regulated banking environment.</w:t>
      </w:r>
    </w:p>
    <w:p>
      <w:pPr>
        <w:pStyle w:val="ListBullet"/>
        <w:spacing w:before="20" w:after="20"/>
        <w:ind w:left="288"/>
      </w:pPr>
      <w:r>
        <w:rPr>
          <w:rFonts w:ascii="Calibri" w:hAnsi="Calibri"/>
          <w:b w:val="0"/>
          <w:sz w:val="20"/>
        </w:rPr>
        <w:t>Configured and performance-tuned the Archer platform to support growing user base and expanding data volumes while maintaining system stability and uptime.</w:t>
      </w:r>
    </w:p>
    <w:p>
      <w:pPr>
        <w:pStyle w:val="ListBullet"/>
        <w:spacing w:before="20" w:after="20"/>
        <w:ind w:left="288"/>
      </w:pPr>
      <w:r>
        <w:rPr>
          <w:rFonts w:ascii="Calibri" w:hAnsi="Calibri"/>
          <w:b w:val="0"/>
          <w:sz w:val="20"/>
        </w:rPr>
        <w:t>Cut portfolio risk 17% by designing custom Archer reporting structures and risk quantification models that delivered timely, data-driven risk intelligence to executive leadership.</w:t>
      </w:r>
    </w:p>
    <w:p>
      <w:pPr>
        <w:pStyle w:val="ListBullet"/>
        <w:spacing w:before="20" w:after="20"/>
        <w:ind w:left="288"/>
      </w:pPr>
      <w:r>
        <w:rPr>
          <w:rFonts w:ascii="Calibri" w:hAnsi="Calibri"/>
          <w:b w:val="0"/>
          <w:sz w:val="20"/>
        </w:rPr>
        <w:t>Translated complex regulatory and business compliance requirements into structured Archer configurations, technical specifications, and sequenced delivery plans.</w:t>
      </w:r>
    </w:p>
    <w:p>
      <w:pPr>
        <w:spacing w:before="120" w:after="0"/>
      </w:pPr>
      <w:r>
        <w:rPr>
          <w:rFonts w:ascii="Calibri" w:hAnsi="Calibri"/>
          <w:b/>
          <w:sz w:val="22"/>
        </w:rPr>
        <w:t>JP MORGAN CHASE, Columbus, OH</w:t>
      </w:r>
      <w:r>
        <w:rPr>
          <w:rFonts w:ascii="Calibri" w:hAnsi="Calibri"/>
          <w:b w:val="0"/>
          <w:sz w:val="20"/>
        </w:rPr>
        <w:t xml:space="preserve">   03/2014 – 08/2016</w:t>
      </w:r>
    </w:p>
    <w:p>
      <w:pPr>
        <w:spacing w:before="0" w:after="60"/>
      </w:pPr>
      <w:r>
        <w:rPr>
          <w:rFonts w:ascii="Calibri" w:hAnsi="Calibri"/>
          <w:b/>
          <w:sz w:val="20"/>
        </w:rPr>
        <w:t>GRC Business Analyst / Technical Coordinator</w:t>
      </w:r>
    </w:p>
    <w:p>
      <w:pPr>
        <w:spacing w:before="40" w:after="60"/>
      </w:pPr>
      <w:r>
        <w:rPr>
          <w:rFonts w:ascii="Calibri" w:hAnsi="Calibri"/>
          <w:b w:val="0"/>
          <w:sz w:val="20"/>
        </w:rPr>
        <w:t>Supported GRC platform implementations and system enhancements. Translated business requirements into technical specifications and coordinated cross-functional delivery teams in Agile environments.</w:t>
      </w:r>
    </w:p>
    <w:p>
      <w:pPr>
        <w:pStyle w:val="ListBullet"/>
        <w:spacing w:before="20" w:after="20"/>
        <w:ind w:left="288"/>
      </w:pPr>
      <w:r>
        <w:rPr>
          <w:rFonts w:ascii="Calibri" w:hAnsi="Calibri"/>
          <w:b w:val="0"/>
          <w:sz w:val="20"/>
        </w:rPr>
        <w:t>Documented Archer workflow requirements, data flow diagrams, and integration specifications, enabling development teams to configure accurate, compliant GRC platform solutions.</w:t>
      </w:r>
    </w:p>
    <w:p>
      <w:pPr>
        <w:pStyle w:val="ListBullet"/>
        <w:spacing w:before="20" w:after="20"/>
        <w:ind w:left="288"/>
      </w:pPr>
      <w:r>
        <w:rPr>
          <w:rFonts w:ascii="Calibri" w:hAnsi="Calibri"/>
          <w:b w:val="0"/>
          <w:sz w:val="20"/>
        </w:rPr>
        <w:t>Coordinated 500+ Agile ceremonies across multiple delivery tracks, keeping stakeholders aligned and development progressing on schedule.</w:t>
      </w:r>
    </w:p>
    <w:p>
      <w:pPr>
        <w:spacing w:before="120" w:after="0"/>
      </w:pPr>
      <w:r>
        <w:rPr>
          <w:rFonts w:ascii="Calibri" w:hAnsi="Calibri"/>
          <w:b/>
          <w:sz w:val="22"/>
        </w:rPr>
        <w:t>TARGET CORPORATION, Columbus, OH</w:t>
      </w:r>
      <w:r>
        <w:rPr>
          <w:rFonts w:ascii="Calibri" w:hAnsi="Calibri"/>
          <w:b w:val="0"/>
          <w:sz w:val="20"/>
        </w:rPr>
        <w:t xml:space="preserve">   09/2011 – 03/2014</w:t>
      </w:r>
    </w:p>
    <w:p>
      <w:pPr>
        <w:spacing w:before="0" w:after="60"/>
      </w:pPr>
      <w:r>
        <w:rPr>
          <w:rFonts w:ascii="Calibri" w:hAnsi="Calibri"/>
          <w:b/>
          <w:sz w:val="20"/>
        </w:rPr>
        <w:t>Business Analyst / Project Coordinator</w:t>
      </w:r>
    </w:p>
    <w:p>
      <w:pPr>
        <w:pStyle w:val="ListBullet"/>
        <w:spacing w:before="20" w:after="20"/>
        <w:ind w:left="288"/>
      </w:pPr>
      <w:r>
        <w:rPr>
          <w:rFonts w:ascii="Calibri" w:hAnsi="Calibri"/>
          <w:b w:val="0"/>
          <w:sz w:val="20"/>
        </w:rPr>
        <w:t>Facilitated 70+ requirements-gathering sessions and translated 300+ business requirements into functional specifications supporting on-time, on-scope system delivery.</w:t>
      </w:r>
    </w:p>
    <w:p>
      <w:pPr>
        <w:pStyle w:val="ListBullet"/>
        <w:spacing w:before="20" w:after="20"/>
        <w:ind w:left="288"/>
      </w:pPr>
      <w:r>
        <w:rPr>
          <w:rFonts w:ascii="Calibri" w:hAnsi="Calibri"/>
          <w:b w:val="0"/>
          <w:sz w:val="20"/>
        </w:rPr>
        <w:t>Identified system gaps and recommended technology solutions that improved process continuity and addressed evolving organizational needs.</w:t>
      </w:r>
    </w:p>
    <w:p>
      <w:pPr>
        <w:spacing w:before="40" w:after="40"/>
        <w:pBdr>
          <w:bottom w:val="single" w:sz="6" w:space="1" w:color="2F5496"/>
        </w:pBdr>
      </w:pPr>
    </w:p>
    <w:p>
      <w:pPr>
        <w:spacing w:before="80" w:after="40"/>
      </w:pPr>
      <w:r>
        <w:rPr>
          <w:rFonts w:ascii="Calibri" w:hAnsi="Calibri"/>
          <w:b/>
          <w:color w:val="2F5496"/>
          <w:sz w:val="20"/>
        </w:rPr>
        <w:t>EDUCATION</w:t>
      </w:r>
    </w:p>
    <w:p>
      <w:pPr>
        <w:spacing w:before="20" w:after="20"/>
      </w:pPr>
      <w:r>
        <w:rPr>
          <w:rFonts w:ascii="Calibri" w:hAnsi="Calibri"/>
          <w:b w:val="0"/>
          <w:sz w:val="20"/>
        </w:rPr>
        <w:t>Master of Science (MS), Data Science — Regis University, Denver, CO</w:t>
      </w:r>
    </w:p>
    <w:p>
      <w:pPr>
        <w:spacing w:before="20" w:after="20"/>
      </w:pPr>
      <w:r>
        <w:rPr>
          <w:rFonts w:ascii="Calibri" w:hAnsi="Calibri"/>
          <w:b w:val="0"/>
          <w:sz w:val="20"/>
        </w:rPr>
        <w:t>Bachelor of Science (BS), Microbiology — Arizona State University, Tempe, AZ</w:t>
      </w:r>
    </w:p>
    <w:p>
      <w:pPr>
        <w:spacing w:before="40" w:after="40"/>
        <w:pBdr>
          <w:bottom w:val="single" w:sz="6" w:space="1" w:color="2F5496"/>
        </w:pBdr>
      </w:pPr>
    </w:p>
    <w:p>
      <w:pPr>
        <w:spacing w:before="80" w:after="40"/>
      </w:pPr>
      <w:r>
        <w:rPr>
          <w:rFonts w:ascii="Calibri" w:hAnsi="Calibri"/>
          <w:b/>
          <w:color w:val="2F5496"/>
          <w:sz w:val="20"/>
        </w:rPr>
        <w:t>CERTIFICATIONS</w:t>
      </w:r>
    </w:p>
    <w:p>
      <w:pPr>
        <w:spacing w:before="20" w:after="20"/>
      </w:pPr>
      <w:r>
        <w:rPr>
          <w:rFonts w:ascii="Calibri" w:hAnsi="Calibri"/>
          <w:b/>
          <w:sz w:val="20"/>
        </w:rPr>
        <w:t>RSA Archer Certified Professional</w:t>
      </w:r>
    </w:p>
    <w:p>
      <w:pPr>
        <w:spacing w:before="20" w:after="20"/>
      </w:pPr>
      <w:r>
        <w:rPr>
          <w:rFonts w:ascii="Calibri" w:hAnsi="Calibri"/>
          <w:b/>
          <w:sz w:val="20"/>
        </w:rPr>
        <w:t>Project Management Professional (PMP)</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