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6"/>
        <w:jc w:val="center"/>
      </w:pPr>
      <w:r>
        <w:rPr>
          <w:rFonts w:ascii="Arial" w:cs="Arial" w:eastAsia="Arial" w:hAnsi="Arial"/>
          <w:b/>
          <w:bCs/>
          <w:color w:val="1F4E79"/>
          <w:sz w:val="38"/>
          <w:szCs w:val="38"/>
        </w:rPr>
        <w:t xml:space="preserve">ENAM EGYIR</w:t>
      </w:r>
    </w:p>
    <w:p>
      <w:pPr>
        <w:spacing w:before="0" w:after="55"/>
        <w:jc w:val="center"/>
      </w:pPr>
      <w:r>
        <w:rPr>
          <w:rFonts w:ascii="Arial" w:cs="Arial" w:eastAsia="Arial" w:hAnsi="Arial"/>
          <w:color w:val="404040"/>
          <w:sz w:val="20"/>
          <w:szCs w:val="20"/>
        </w:rPr>
        <w:t xml:space="preserve">Columbus, OH  |  614-377-6633  |  enam.egyir@gmail.com  |  linkedin.com/in/enamegyir</w:t>
      </w:r>
    </w:p>
    <w:p>
      <w:pPr>
        <w:pBdr>
          <w:bottom w:val="single" w:color="2E75B6" w:sz="8" w:space="1"/>
        </w:pBdr>
        <w:spacing w:before="0" w:after="80"/>
      </w:pPr>
    </w:p>
    <w:p>
      <w:pPr>
        <w:spacing w:before="70" w:after="48"/>
        <w:jc w:val="center"/>
      </w:pPr>
      <w:r>
        <w:rPr>
          <w:rFonts w:ascii="Arial" w:cs="Arial" w:eastAsia="Arial" w:hAnsi="Arial"/>
          <w:b/>
          <w:bCs/>
          <w:color w:val="1F1F1F"/>
          <w:sz w:val="24"/>
          <w:szCs w:val="24"/>
        </w:rPr>
        <w:t xml:space="preserve">Financial Business Systems Analyst</w:t>
      </w:r>
    </w:p>
    <w:p>
      <w:pPr>
        <w:spacing w:before="0" w:after="80"/>
        <w:jc w:val="center"/>
      </w:pPr>
      <w:r>
        <w:rPr>
          <w:rFonts w:ascii="Arial" w:cs="Arial" w:eastAsia="Arial" w:hAnsi="Arial"/>
          <w:b/>
          <w:bCs/>
          <w:i/>
          <w:iCs/>
          <w:color w:val="1F4E79"/>
          <w:sz w:val="19"/>
          <w:szCs w:val="19"/>
        </w:rPr>
        <w:t xml:space="preserve">Analyze Business Requirements &amp; Deliver Financial System Solutions that Improve Operations &amp; Drive Business Value</w:t>
      </w:r>
    </w:p>
    <w:p>
      <w:pPr>
        <w:pBdr>
          <w:bottom w:val="single" w:color="2E75B6" w:sz="8" w:space="1"/>
        </w:pBdr>
        <w:spacing w:before="0" w:after="80"/>
      </w:pPr>
    </w:p>
    <w:p>
      <w:pPr>
        <w:pBdr>
          <w:bottom w:val="single" w:color="2E75B6" w:sz="5" w:space="1"/>
        </w:pBdr>
        <w:spacing w:before="150" w:after="50"/>
      </w:pPr>
      <w:r>
        <w:rPr>
          <w:rFonts w:ascii="Arial" w:cs="Arial" w:eastAsia="Arial" w:hAnsi="Arial"/>
          <w:b/>
          <w:bCs/>
          <w:color w:val="1F4E79"/>
          <w:sz w:val="22"/>
          <w:szCs w:val="22"/>
        </w:rPr>
        <w:t xml:space="preserve">CAREER SUMMARY</w:t>
      </w:r>
    </w:p>
    <w:p>
      <w:pPr>
        <w:spacing w:before="46" w:after="46"/>
        <w:contextualSpacing w:val="false"/>
      </w:pPr>
      <w:r>
        <w:rPr>
          <w:rFonts w:ascii="Arial" w:cs="Arial" w:eastAsia="Arial" w:hAnsi="Arial"/>
          <w:color w:val="404040"/>
          <w:sz w:val="20"/>
          <w:szCs w:val="20"/>
        </w:rPr>
        <w:t xml:space="preserve">Over 10 years of experience analyzing business requirements and delivering financial system solutions across large, complex organizations. Deep functional knowledge spanning tax preparation and compliance, billing and invoicing, procurement, financial consolidation, and accounting — combined with hands-on expertise leading full lifecycle system implementations from requirements gathering and business case development through configuration, testing, and user adoption. Proven ability to bridge the gap between finance and technology teams, translating complex business and financial requirements into system solutions that improve controls, reduce processing time, and deliver measurable operational value. Skilled at conducting gap analysis, documenting functional specifications, and driving lasting business process improvement. Project Management Professional (PMP) certified with deep expertise in Agile methodology, change management, stakeholder engagement, and data analysis.</w:t>
      </w:r>
    </w:p>
    <w:p>
      <w:pPr>
        <w:pBdr>
          <w:bottom w:val="single" w:color="2E75B6" w:sz="5" w:space="1"/>
        </w:pBdr>
        <w:spacing w:before="150" w:after="50"/>
      </w:pPr>
      <w:r>
        <w:rPr>
          <w:rFonts w:ascii="Arial" w:cs="Arial" w:eastAsia="Arial" w:hAnsi="Arial"/>
          <w:b/>
          <w:bCs/>
          <w:color w:val="1F4E79"/>
          <w:sz w:val="22"/>
          <w:szCs w:val="22"/>
        </w:rPr>
        <w:t xml:space="preserve">EXPERTISE</w:t>
      </w:r>
    </w:p>
    <w:p>
      <w:pPr>
        <w:pStyle w:val="ListParagraph"/>
        <w:numPr>
          <w:ilvl w:val="0"/>
          <w:numId w:val="2"/>
        </w:numPr>
        <w:spacing w:before="46" w:after="46"/>
      </w:pPr>
      <w:r>
        <w:rPr>
          <w:rFonts w:ascii="Arial" w:cs="Arial" w:eastAsia="Arial" w:hAnsi="Arial"/>
          <w:b/>
          <w:bCs/>
          <w:color w:val="1F1F1F"/>
          <w:sz w:val="20"/>
          <w:szCs w:val="20"/>
        </w:rPr>
        <w:t xml:space="preserve">Business &amp; Financial Systems Analysis</w:t>
      </w:r>
      <w:r>
        <w:rPr>
          <w:rFonts w:ascii="Arial" w:cs="Arial" w:eastAsia="Arial" w:hAnsi="Arial"/>
          <w:color w:val="404040"/>
          <w:sz w:val="20"/>
          <w:szCs w:val="20"/>
        </w:rPr>
        <w:t xml:space="preserve">  |  Requirements Gathering &amp; Documentation  |  Business Process Re-engineering</w:t>
      </w:r>
    </w:p>
    <w:p>
      <w:pPr>
        <w:pStyle w:val="ListParagraph"/>
        <w:numPr>
          <w:ilvl w:val="0"/>
          <w:numId w:val="2"/>
        </w:numPr>
        <w:spacing w:before="46" w:after="46"/>
      </w:pPr>
      <w:r>
        <w:rPr>
          <w:rFonts w:ascii="Arial" w:cs="Arial" w:eastAsia="Arial" w:hAnsi="Arial"/>
          <w:b/>
          <w:bCs/>
          <w:color w:val="1F1F1F"/>
          <w:sz w:val="20"/>
          <w:szCs w:val="20"/>
        </w:rPr>
        <w:t xml:space="preserve">Billing, Invoicing &amp; Procurement</w:t>
      </w:r>
      <w:r>
        <w:rPr>
          <w:rFonts w:ascii="Arial" w:cs="Arial" w:eastAsia="Arial" w:hAnsi="Arial"/>
          <w:color w:val="404040"/>
          <w:sz w:val="20"/>
          <w:szCs w:val="20"/>
        </w:rPr>
        <w:t xml:space="preserve">  |  Accounts Payable / Receivable  |  Financial Consolidation &amp; Reporting</w:t>
      </w:r>
    </w:p>
    <w:p>
      <w:pPr>
        <w:pStyle w:val="ListParagraph"/>
        <w:numPr>
          <w:ilvl w:val="0"/>
          <w:numId w:val="2"/>
        </w:numPr>
        <w:spacing w:before="46" w:after="46"/>
      </w:pPr>
      <w:r>
        <w:rPr>
          <w:rFonts w:ascii="Arial" w:cs="Arial" w:eastAsia="Arial" w:hAnsi="Arial"/>
          <w:b/>
          <w:bCs/>
          <w:color w:val="1F1F1F"/>
          <w:sz w:val="20"/>
          <w:szCs w:val="20"/>
        </w:rPr>
        <w:t xml:space="preserve">Tax Preparation &amp; Compliance</w:t>
      </w:r>
      <w:r>
        <w:rPr>
          <w:rFonts w:ascii="Arial" w:cs="Arial" w:eastAsia="Arial" w:hAnsi="Arial"/>
          <w:color w:val="404040"/>
          <w:sz w:val="20"/>
          <w:szCs w:val="20"/>
        </w:rPr>
        <w:t xml:space="preserve">  |  Regulatory Reporting  |  Audit Readiness  |  Internal Controls &amp; General Ledger</w:t>
      </w:r>
    </w:p>
    <w:p>
      <w:pPr>
        <w:pStyle w:val="ListParagraph"/>
        <w:numPr>
          <w:ilvl w:val="0"/>
          <w:numId w:val="2"/>
        </w:numPr>
        <w:spacing w:before="46" w:after="46"/>
      </w:pPr>
      <w:r>
        <w:rPr>
          <w:rFonts w:ascii="Arial" w:cs="Arial" w:eastAsia="Arial" w:hAnsi="Arial"/>
          <w:b/>
          <w:bCs/>
          <w:color w:val="1F1F1F"/>
          <w:sz w:val="20"/>
          <w:szCs w:val="20"/>
        </w:rPr>
        <w:t xml:space="preserve">Accounting &amp; Job Costing</w:t>
      </w:r>
      <w:r>
        <w:rPr>
          <w:rFonts w:ascii="Arial" w:cs="Arial" w:eastAsia="Arial" w:hAnsi="Arial"/>
          <w:color w:val="404040"/>
          <w:sz w:val="20"/>
          <w:szCs w:val="20"/>
        </w:rPr>
        <w:t xml:space="preserve">  |  Chart of Accounts  |  Period-End Close  |  WIP Reporting  |  Financial Data Integrity</w:t>
      </w:r>
    </w:p>
    <w:p>
      <w:pPr>
        <w:pStyle w:val="ListParagraph"/>
        <w:numPr>
          <w:ilvl w:val="0"/>
          <w:numId w:val="2"/>
        </w:numPr>
        <w:spacing w:before="46" w:after="46"/>
      </w:pPr>
      <w:r>
        <w:rPr>
          <w:rFonts w:ascii="Arial" w:cs="Arial" w:eastAsia="Arial" w:hAnsi="Arial"/>
          <w:b/>
          <w:bCs/>
          <w:color w:val="1F1F1F"/>
          <w:sz w:val="20"/>
          <w:szCs w:val="20"/>
        </w:rPr>
        <w:t xml:space="preserve">Stakeholder Engagement &amp; Change Management</w:t>
      </w:r>
      <w:r>
        <w:rPr>
          <w:rFonts w:ascii="Arial" w:cs="Arial" w:eastAsia="Arial" w:hAnsi="Arial"/>
          <w:color w:val="404040"/>
          <w:sz w:val="20"/>
          <w:szCs w:val="20"/>
        </w:rPr>
        <w:t xml:space="preserve">  |  Executive Reporting  |  Gap Analysis  |  Training &amp; User Adoption</w:t>
      </w:r>
    </w:p>
    <w:p>
      <w:pPr>
        <w:pStyle w:val="ListParagraph"/>
        <w:numPr>
          <w:ilvl w:val="0"/>
          <w:numId w:val="2"/>
        </w:numPr>
        <w:spacing w:before="46" w:after="46"/>
      </w:pPr>
      <w:r>
        <w:rPr>
          <w:rFonts w:ascii="Arial" w:cs="Arial" w:eastAsia="Arial" w:hAnsi="Arial"/>
          <w:b/>
          <w:bCs/>
          <w:color w:val="1F1F1F"/>
          <w:sz w:val="20"/>
          <w:szCs w:val="20"/>
        </w:rPr>
        <w:t xml:space="preserve">Agile Delivery &amp; Data Analysis</w:t>
      </w:r>
      <w:r>
        <w:rPr>
          <w:rFonts w:ascii="Arial" w:cs="Arial" w:eastAsia="Arial" w:hAnsi="Arial"/>
          <w:color w:val="404040"/>
          <w:sz w:val="20"/>
          <w:szCs w:val="20"/>
        </w:rPr>
        <w:t xml:space="preserve">  |  UAT Coordination  |  System Testing &amp; Configuration  |  Cross-Functional Collaboration</w:t>
      </w:r>
    </w:p>
    <w:p>
      <w:pPr>
        <w:pBdr>
          <w:bottom w:val="single" w:color="2E75B6" w:sz="5" w:space="1"/>
        </w:pBdr>
        <w:spacing w:before="150" w:after="50"/>
      </w:pPr>
      <w:r>
        <w:rPr>
          <w:rFonts w:ascii="Arial" w:cs="Arial" w:eastAsia="Arial" w:hAnsi="Arial"/>
          <w:b/>
          <w:bCs/>
          <w:color w:val="1F4E79"/>
          <w:sz w:val="22"/>
          <w:szCs w:val="22"/>
        </w:rPr>
        <w:t xml:space="preserve">TECHNICAL SKILLS</w:t>
      </w:r>
    </w:p>
    <w:p>
      <w:pPr>
        <w:spacing w:before="46" w:after="46"/>
        <w:contextualSpacing w:val="false"/>
      </w:pPr>
      <w:r>
        <w:rPr>
          <w:rFonts w:ascii="Arial" w:cs="Arial" w:eastAsia="Arial" w:hAnsi="Arial"/>
          <w:color w:val="404040"/>
          <w:sz w:val="20"/>
          <w:szCs w:val="20"/>
        </w:rPr>
        <w:t xml:space="preserve">Platforms &amp; Tools:  RSA Archer GRC  |  ServiceNow  |  QuickBooks  |  Jira  |  Salesforce  |  Tableau  |  SQL</w:t>
      </w:r>
    </w:p>
    <w:p>
      <w:pPr>
        <w:spacing w:before="46" w:after="46"/>
        <w:contextualSpacing w:val="false"/>
      </w:pPr>
      <w:r>
        <w:rPr>
          <w:rFonts w:ascii="Arial" w:cs="Arial" w:eastAsia="Arial" w:hAnsi="Arial"/>
          <w:color w:val="404040"/>
          <w:sz w:val="20"/>
          <w:szCs w:val="20"/>
        </w:rPr>
        <w:t xml:space="preserve">Financial Tools:  TurboTax  |  QuickBooks  |  Billing &amp; Invoicing Systems  |  Financial Reporting Dashboards</w:t>
      </w:r>
    </w:p>
    <w:p>
      <w:pPr>
        <w:spacing w:before="46" w:after="46"/>
        <w:contextualSpacing w:val="false"/>
      </w:pPr>
      <w:r>
        <w:rPr>
          <w:rFonts w:ascii="Arial" w:cs="Arial" w:eastAsia="Arial" w:hAnsi="Arial"/>
          <w:color w:val="404040"/>
          <w:sz w:val="20"/>
          <w:szCs w:val="20"/>
        </w:rPr>
        <w:t xml:space="preserve">Methodologies:  Agile  |  Scrum  |  Waterfall          Prioritization Frameworks:  MoSCoW  |  WSJF</w:t>
      </w:r>
    </w:p>
    <w:p>
      <w:pPr>
        <w:pBdr>
          <w:bottom w:val="single" w:color="2E75B6" w:sz="5" w:space="1"/>
        </w:pBdr>
        <w:spacing w:before="150" w:after="50"/>
      </w:pPr>
      <w:r>
        <w:rPr>
          <w:rFonts w:ascii="Arial" w:cs="Arial" w:eastAsia="Arial" w:hAnsi="Arial"/>
          <w:b/>
          <w:bCs/>
          <w:color w:val="1F4E79"/>
          <w:sz w:val="22"/>
          <w:szCs w:val="22"/>
        </w:rPr>
        <w:t xml:space="preserve">CERTIFICATIONS</w:t>
      </w:r>
    </w:p>
    <w:p>
      <w:pPr>
        <w:spacing w:before="46" w:after="46"/>
        <w:contextualSpacing w:val="false"/>
      </w:pPr>
      <w:r>
        <w:rPr>
          <w:rFonts w:ascii="Arial" w:cs="Arial" w:eastAsia="Arial" w:hAnsi="Arial"/>
          <w:color w:val="404040"/>
          <w:sz w:val="20"/>
          <w:szCs w:val="20"/>
        </w:rPr>
        <w:t xml:space="preserve">Project Management Professional (PMP)  |  RSA Archer Certified Professional</w:t>
      </w:r>
    </w:p>
    <w:p>
      <w:pPr>
        <w:pBdr>
          <w:bottom w:val="single" w:color="2E75B6" w:sz="5" w:space="1"/>
        </w:pBdr>
        <w:spacing w:before="150" w:after="50"/>
      </w:pPr>
      <w:r>
        <w:rPr>
          <w:rFonts w:ascii="Arial" w:cs="Arial" w:eastAsia="Arial" w:hAnsi="Arial"/>
          <w:b/>
          <w:bCs/>
          <w:color w:val="1F4E79"/>
          <w:sz w:val="22"/>
          <w:szCs w:val="22"/>
        </w:rPr>
        <w:t xml:space="preserve">PROFESSIONAL EXPERIENCE</w:t>
      </w:r>
    </w:p>
    <w:p>
      <w:pPr>
        <w:spacing w:before="150" w:after="20"/>
      </w:pPr>
      <w:r>
        <w:rPr>
          <w:rFonts w:ascii="Arial" w:cs="Arial" w:eastAsia="Arial" w:hAnsi="Arial"/>
          <w:b/>
          <w:bCs/>
          <w:color w:val="1F1F1F"/>
          <w:sz w:val="21"/>
          <w:szCs w:val="21"/>
        </w:rPr>
        <w:t xml:space="preserve">COMERICA BANK</w:t>
      </w:r>
      <w:r>
        <w:rPr>
          <w:rFonts w:ascii="Arial" w:cs="Arial" w:eastAsia="Arial" w:hAnsi="Arial"/>
          <w:color w:val="404040"/>
          <w:sz w:val="20"/>
          <w:szCs w:val="20"/>
        </w:rPr>
        <w:t xml:space="preserve">  |  Detroit, MI  |  07/2022 – 02/2026</w:t>
      </w:r>
    </w:p>
    <w:p>
      <w:pPr>
        <w:spacing w:before="0" w:after="60"/>
      </w:pPr>
      <w:r>
        <w:rPr>
          <w:rFonts w:ascii="Arial" w:cs="Arial" w:eastAsia="Arial" w:hAnsi="Arial"/>
          <w:b/>
          <w:bCs/>
          <w:color w:val="1F4E79"/>
          <w:sz w:val="20"/>
          <w:szCs w:val="20"/>
        </w:rPr>
        <w:t xml:space="preserve">Technical Lead Analyst / Product Owner (Remote)</w:t>
      </w:r>
    </w:p>
    <w:p>
      <w:pPr>
        <w:spacing w:before="46" w:after="46"/>
        <w:contextualSpacing w:val="false"/>
      </w:pPr>
      <w:r>
        <w:rPr>
          <w:rFonts w:ascii="Arial" w:cs="Arial" w:eastAsia="Arial" w:hAnsi="Arial"/>
          <w:color w:val="404040"/>
          <w:sz w:val="20"/>
          <w:szCs w:val="20"/>
        </w:rPr>
        <w:t xml:space="preserve">Conducted end-to-end business and financial systems analysis for enterprise compliance and GRC platform implementations serving a 40,000+ employee organization. Gathered and documented requirements across finance, compliance, and operations teams, translated findings into functional specifications, and oversaw system configuration, user acceptance testing, and rollout. Analyzed and re-engineered financial reporting workflows and compliance controls across multiple business units, bridging vendor resources and business stakeholders to drive adoption and sustainable improvement.</w:t>
      </w:r>
    </w:p>
    <w:p>
      <w:pPr>
        <w:pStyle w:val="ListParagraph"/>
        <w:numPr>
          <w:ilvl w:val="0"/>
          <w:numId w:val="2"/>
        </w:numPr>
        <w:spacing w:before="46" w:after="46"/>
      </w:pPr>
      <w:r>
        <w:rPr>
          <w:rFonts w:ascii="Arial" w:cs="Arial" w:eastAsia="Arial" w:hAnsi="Arial"/>
          <w:b/>
          <w:bCs/>
          <w:color w:val="1F1F1F"/>
          <w:sz w:val="20"/>
          <w:szCs w:val="20"/>
        </w:rPr>
        <w:t xml:space="preserve">Drove 30% improvement in operational efficiency</w:t>
      </w:r>
      <w:r>
        <w:rPr>
          <w:rFonts w:ascii="Arial" w:cs="Arial" w:eastAsia="Arial" w:hAnsi="Arial"/>
          <w:color w:val="404040"/>
          <w:sz w:val="20"/>
          <w:szCs w:val="20"/>
        </w:rPr>
        <w:t xml:space="preserve"> — Analyzed existing workflows across six concurrent workstreams, identified and prioritized process improvement opportunities, and eliminated four major operational bottlenecks within 18 months.</w:t>
      </w:r>
    </w:p>
    <w:p>
      <w:pPr>
        <w:pStyle w:val="ListParagraph"/>
        <w:numPr>
          <w:ilvl w:val="0"/>
          <w:numId w:val="2"/>
        </w:numPr>
        <w:spacing w:before="46" w:after="46"/>
      </w:pPr>
      <w:r>
        <w:rPr>
          <w:rFonts w:ascii="Arial" w:cs="Arial" w:eastAsia="Arial" w:hAnsi="Arial"/>
          <w:b/>
          <w:bCs/>
          <w:color w:val="1F1F1F"/>
          <w:sz w:val="20"/>
          <w:szCs w:val="20"/>
        </w:rPr>
        <w:t xml:space="preserve">Reduced manual financial and compliance processes by 40%</w:t>
      </w:r>
      <w:r>
        <w:rPr>
          <w:rFonts w:ascii="Arial" w:cs="Arial" w:eastAsia="Arial" w:hAnsi="Arial"/>
          <w:color w:val="404040"/>
          <w:sz w:val="20"/>
          <w:szCs w:val="20"/>
        </w:rPr>
        <w:t xml:space="preserve"> — Identified and mapped 12 high-volume manual workflows across compliance and financial reporting functions, leading automation initiatives that reduced error rates and freed capacity for higher-value work.</w:t>
      </w:r>
    </w:p>
    <w:p>
      <w:pPr>
        <w:pStyle w:val="ListParagraph"/>
        <w:numPr>
          <w:ilvl w:val="0"/>
          <w:numId w:val="2"/>
        </w:numPr>
        <w:spacing w:before="46" w:after="46"/>
      </w:pPr>
      <w:r>
        <w:rPr>
          <w:rFonts w:ascii="Arial" w:cs="Arial" w:eastAsia="Arial" w:hAnsi="Arial"/>
          <w:b/>
          <w:bCs/>
          <w:color w:val="1F1F1F"/>
          <w:sz w:val="20"/>
          <w:szCs w:val="20"/>
        </w:rPr>
        <w:t xml:space="preserve">Standardized financial requirements and analysis framework</w:t>
      </w:r>
      <w:r>
        <w:rPr>
          <w:rFonts w:ascii="Arial" w:cs="Arial" w:eastAsia="Arial" w:hAnsi="Arial"/>
          <w:color w:val="404040"/>
          <w:sz w:val="20"/>
          <w:szCs w:val="20"/>
        </w:rPr>
        <w:t xml:space="preserve"> — Developed a repeatable business analysis framework converting stakeholder financial requirements into acceptance-criteria-backed functional specifications, reducing implementation rework by 35% within two quarters.</w:t>
      </w:r>
    </w:p>
    <w:p>
      <w:pPr>
        <w:pStyle w:val="ListParagraph"/>
        <w:numPr>
          <w:ilvl w:val="0"/>
          <w:numId w:val="2"/>
        </w:numPr>
        <w:spacing w:before="46" w:after="46"/>
      </w:pPr>
      <w:r>
        <w:rPr>
          <w:rFonts w:ascii="Arial" w:cs="Arial" w:eastAsia="Arial" w:hAnsi="Arial"/>
          <w:b/>
          <w:bCs/>
          <w:color w:val="1F1F1F"/>
          <w:sz w:val="20"/>
          <w:szCs w:val="20"/>
        </w:rPr>
        <w:t xml:space="preserve">Designed consolidated financial reporting solution for board leadership</w:t>
      </w:r>
      <w:r>
        <w:rPr>
          <w:rFonts w:ascii="Arial" w:cs="Arial" w:eastAsia="Arial" w:hAnsi="Arial"/>
          <w:color w:val="404040"/>
          <w:sz w:val="20"/>
          <w:szCs w:val="20"/>
        </w:rPr>
        <w:t xml:space="preserve"> — Analyzed reporting requirements, mapped data from five disparate financial systems, and designed a unified dashboard that reduced quarterly reporting preparation time by 60% while improving data accuracy.</w:t>
      </w:r>
    </w:p>
    <w:p>
      <w:pPr>
        <w:pStyle w:val="ListParagraph"/>
        <w:numPr>
          <w:ilvl w:val="0"/>
          <w:numId w:val="2"/>
        </w:numPr>
        <w:spacing w:before="46" w:after="46"/>
      </w:pPr>
      <w:r>
        <w:rPr>
          <w:rFonts w:ascii="Arial" w:cs="Arial" w:eastAsia="Arial" w:hAnsi="Arial"/>
          <w:b/>
          <w:bCs/>
          <w:color w:val="1F1F1F"/>
          <w:sz w:val="20"/>
          <w:szCs w:val="20"/>
        </w:rPr>
        <w:t xml:space="preserve">Improved platform reliability 22% through vendor governance</w:t>
      </w:r>
      <w:r>
        <w:rPr>
          <w:rFonts w:ascii="Arial" w:cs="Arial" w:eastAsia="Arial" w:hAnsi="Arial"/>
          <w:color w:val="404040"/>
          <w:sz w:val="20"/>
          <w:szCs w:val="20"/>
        </w:rPr>
        <w:t xml:space="preserve"> — Governed three external provider relationships, negotiating SLA improvements and coordinating releases to drive active adoption across business units.</w:t>
      </w:r>
    </w:p>
    <w:p>
      <w:pPr>
        <w:spacing w:before="150" w:after="20"/>
      </w:pPr>
      <w:r>
        <w:rPr>
          <w:rFonts w:ascii="Arial" w:cs="Arial" w:eastAsia="Arial" w:hAnsi="Arial"/>
          <w:b/>
          <w:bCs/>
          <w:color w:val="1F1F1F"/>
          <w:sz w:val="21"/>
          <w:szCs w:val="21"/>
        </w:rPr>
        <w:t xml:space="preserve">HUNTINGTON NATIONAL BANK</w:t>
      </w:r>
      <w:r>
        <w:rPr>
          <w:rFonts w:ascii="Arial" w:cs="Arial" w:eastAsia="Arial" w:hAnsi="Arial"/>
          <w:color w:val="404040"/>
          <w:sz w:val="20"/>
          <w:szCs w:val="20"/>
        </w:rPr>
        <w:t xml:space="preserve">  |  Columbus, OH  |  08/2016 – 08/2022</w:t>
      </w:r>
    </w:p>
    <w:p>
      <w:pPr>
        <w:spacing w:before="0" w:after="60"/>
      </w:pPr>
      <w:r>
        <w:rPr>
          <w:rFonts w:ascii="Arial" w:cs="Arial" w:eastAsia="Arial" w:hAnsi="Arial"/>
          <w:b/>
          <w:bCs/>
          <w:color w:val="1F4E79"/>
          <w:sz w:val="20"/>
          <w:szCs w:val="20"/>
        </w:rPr>
        <w:t xml:space="preserve">Sr. GRC Product Owner / Scrum Master</w:t>
      </w:r>
    </w:p>
    <w:p>
      <w:pPr>
        <w:spacing w:before="46" w:after="46"/>
        <w:contextualSpacing w:val="false"/>
      </w:pPr>
      <w:r>
        <w:rPr>
          <w:rFonts w:ascii="Arial" w:cs="Arial" w:eastAsia="Arial" w:hAnsi="Arial"/>
          <w:color w:val="404040"/>
          <w:sz w:val="20"/>
          <w:szCs w:val="20"/>
        </w:rPr>
        <w:t xml:space="preserve">Led business and financial systems analysis for the Archer Integrated GRC and financial compliance platform implementation across 12 business units, spanning financial data migration, process re-engineering, and iterative system delivery. Analyzed existing financial workflows, identified gaps against target-state requirements, and documented functional specifications that guided system configuration and testing. Supported full rollout through requirements workshops, UAT coordination, and training sessions for finance, business, and operations teams.</w:t>
      </w:r>
    </w:p>
    <w:p>
      <w:pPr>
        <w:pStyle w:val="ListParagraph"/>
        <w:numPr>
          <w:ilvl w:val="0"/>
          <w:numId w:val="2"/>
        </w:numPr>
        <w:spacing w:before="46" w:after="46"/>
      </w:pPr>
      <w:r>
        <w:rPr>
          <w:rFonts w:ascii="Arial" w:cs="Arial" w:eastAsia="Arial" w:hAnsi="Arial"/>
          <w:b/>
          <w:bCs/>
          <w:color w:val="1F1F1F"/>
          <w:sz w:val="20"/>
          <w:szCs w:val="20"/>
        </w:rPr>
        <w:t xml:space="preserve">Reduced process time 25%, increased data integrity 79%, and improved data availability 56%</w:t>
      </w:r>
      <w:r>
        <w:rPr>
          <w:rFonts w:ascii="Arial" w:cs="Arial" w:eastAsia="Arial" w:hAnsi="Arial"/>
          <w:color w:val="404040"/>
          <w:sz w:val="20"/>
          <w:szCs w:val="20"/>
        </w:rPr>
        <w:t xml:space="preserve"> — Analyzed and re-engineered financial data workflows across 12 business units; the resulting best practices framework became the organizational standard for all future system implementations.</w:t>
      </w:r>
    </w:p>
    <w:p>
      <w:pPr>
        <w:pStyle w:val="ListParagraph"/>
        <w:numPr>
          <w:ilvl w:val="0"/>
          <w:numId w:val="2"/>
        </w:numPr>
        <w:spacing w:before="46" w:after="46"/>
      </w:pPr>
      <w:r>
        <w:rPr>
          <w:rFonts w:ascii="Arial" w:cs="Arial" w:eastAsia="Arial" w:hAnsi="Arial"/>
          <w:b/>
          <w:bCs/>
          <w:color w:val="1F1F1F"/>
          <w:sz w:val="20"/>
          <w:szCs w:val="20"/>
        </w:rPr>
        <w:t xml:space="preserve">Reduced financial and operational risk by 17%</w:t>
      </w:r>
      <w:r>
        <w:rPr>
          <w:rFonts w:ascii="Arial" w:cs="Arial" w:eastAsia="Arial" w:hAnsi="Arial"/>
          <w:color w:val="404040"/>
          <w:sz w:val="20"/>
          <w:szCs w:val="20"/>
        </w:rPr>
        <w:t xml:space="preserve"> — Built and maintained an enterprise risk and compliance framework providing executive leadership with timely, data-driven intelligence for board-level decisions and regulatory responses.</w:t>
      </w:r>
    </w:p>
    <w:p>
      <w:pPr>
        <w:pStyle w:val="ListParagraph"/>
        <w:numPr>
          <w:ilvl w:val="0"/>
          <w:numId w:val="2"/>
        </w:numPr>
        <w:spacing w:before="46" w:after="46"/>
      </w:pPr>
      <w:r>
        <w:rPr>
          <w:rFonts w:ascii="Arial" w:cs="Arial" w:eastAsia="Arial" w:hAnsi="Arial"/>
          <w:b/>
          <w:bCs/>
          <w:color w:val="1F1F1F"/>
          <w:sz w:val="20"/>
          <w:szCs w:val="20"/>
        </w:rPr>
        <w:t xml:space="preserve">Led financial data migration through 9-month merger integration</w:t>
      </w:r>
      <w:r>
        <w:rPr>
          <w:rFonts w:ascii="Arial" w:cs="Arial" w:eastAsia="Arial" w:hAnsi="Arial"/>
          <w:color w:val="404040"/>
          <w:sz w:val="20"/>
          <w:szCs w:val="20"/>
        </w:rPr>
        <w:t xml:space="preserve"> — Analyzed source and target financial data structures, mapped chart of accounts and cost allocations, and coordinated across IT, finance, legal, and compliance to complete migration with zero disruption to operations.</w:t>
      </w:r>
    </w:p>
    <w:p>
      <w:pPr>
        <w:pStyle w:val="ListParagraph"/>
        <w:numPr>
          <w:ilvl w:val="0"/>
          <w:numId w:val="2"/>
        </w:numPr>
        <w:spacing w:before="46" w:after="46"/>
      </w:pPr>
      <w:r>
        <w:rPr>
          <w:rFonts w:ascii="Arial" w:cs="Arial" w:eastAsia="Arial" w:hAnsi="Arial"/>
          <w:b/>
          <w:bCs/>
          <w:color w:val="1F1F1F"/>
          <w:sz w:val="20"/>
          <w:szCs w:val="20"/>
        </w:rPr>
        <w:t xml:space="preserve">Drove Agile transformation and capability building across 12 business units</w:t>
      </w:r>
      <w:r>
        <w:rPr>
          <w:rFonts w:ascii="Arial" w:cs="Arial" w:eastAsia="Arial" w:hAnsi="Arial"/>
          <w:color w:val="404040"/>
          <w:sz w:val="20"/>
          <w:szCs w:val="20"/>
        </w:rPr>
        <w:t xml:space="preserve"> — Coached 30+ team members, introduced implementation best practices, and reduced average delivery time by 20%.</w:t>
      </w:r>
    </w:p>
    <w:p>
      <w:pPr>
        <w:pStyle w:val="ListParagraph"/>
        <w:numPr>
          <w:ilvl w:val="0"/>
          <w:numId w:val="2"/>
        </w:numPr>
        <w:spacing w:before="46" w:after="46"/>
      </w:pPr>
      <w:r>
        <w:rPr>
          <w:rFonts w:ascii="Arial" w:cs="Arial" w:eastAsia="Arial" w:hAnsi="Arial"/>
          <w:b/>
          <w:bCs/>
          <w:color w:val="1F1F1F"/>
          <w:sz w:val="20"/>
          <w:szCs w:val="20"/>
        </w:rPr>
        <w:t xml:space="preserve">Built executive reporting infrastructure</w:t>
      </w:r>
      <w:r>
        <w:rPr>
          <w:rFonts w:ascii="Arial" w:cs="Arial" w:eastAsia="Arial" w:hAnsi="Arial"/>
          <w:color w:val="404040"/>
          <w:sz w:val="20"/>
          <w:szCs w:val="20"/>
        </w:rPr>
        <w:t xml:space="preserve"> — Developed Tableau dashboards conveying financial metrics, project status, and business outcomes adopted as the standard format across all stakeholder groups.</w:t>
      </w:r>
    </w:p>
    <w:p>
      <w:pPr>
        <w:spacing w:before="150" w:after="20"/>
      </w:pPr>
      <w:r>
        <w:rPr>
          <w:rFonts w:ascii="Arial" w:cs="Arial" w:eastAsia="Arial" w:hAnsi="Arial"/>
          <w:b/>
          <w:bCs/>
          <w:color w:val="1F1F1F"/>
          <w:sz w:val="21"/>
          <w:szCs w:val="21"/>
        </w:rPr>
        <w:t xml:space="preserve">JP MORGAN CHASE</w:t>
      </w:r>
      <w:r>
        <w:rPr>
          <w:rFonts w:ascii="Arial" w:cs="Arial" w:eastAsia="Arial" w:hAnsi="Arial"/>
          <w:color w:val="404040"/>
          <w:sz w:val="20"/>
          <w:szCs w:val="20"/>
        </w:rPr>
        <w:t xml:space="preserve">  |  Columbus, OH  |  03/2014 – 08/2016</w:t>
      </w:r>
    </w:p>
    <w:p>
      <w:pPr>
        <w:spacing w:before="0" w:after="60"/>
      </w:pPr>
      <w:r>
        <w:rPr>
          <w:rFonts w:ascii="Arial" w:cs="Arial" w:eastAsia="Arial" w:hAnsi="Arial"/>
          <w:b/>
          <w:bCs/>
          <w:color w:val="1F4E79"/>
          <w:sz w:val="20"/>
          <w:szCs w:val="20"/>
        </w:rPr>
        <w:t xml:space="preserve">Business Analyst / Project Coordinator</w:t>
      </w:r>
    </w:p>
    <w:p>
      <w:pPr>
        <w:spacing w:before="46" w:after="46"/>
        <w:contextualSpacing w:val="false"/>
      </w:pPr>
      <w:r>
        <w:rPr>
          <w:rFonts w:ascii="Arial" w:cs="Arial" w:eastAsia="Arial" w:hAnsi="Arial"/>
          <w:color w:val="404040"/>
          <w:sz w:val="20"/>
          <w:szCs w:val="20"/>
        </w:rPr>
        <w:t xml:space="preserve">Performed business and financial systems analysis for enterprise platform enhancement projects within a large financial services organization. Elicited, analyzed, and documented business requirements, conducted current-state gap analysis, and translated findings into functional specifications for development teams.</w:t>
      </w:r>
    </w:p>
    <w:p>
      <w:pPr>
        <w:pStyle w:val="ListParagraph"/>
        <w:numPr>
          <w:ilvl w:val="0"/>
          <w:numId w:val="2"/>
        </w:numPr>
        <w:spacing w:before="46" w:after="46"/>
      </w:pPr>
      <w:r>
        <w:rPr>
          <w:rFonts w:ascii="Arial" w:cs="Arial" w:eastAsia="Arial" w:hAnsi="Arial"/>
          <w:b/>
          <w:bCs/>
          <w:color w:val="1F1F1F"/>
          <w:sz w:val="20"/>
          <w:szCs w:val="20"/>
        </w:rPr>
        <w:t xml:space="preserve">Coordinated 500+ project ceremonies across six business lines</w:t>
      </w:r>
      <w:r>
        <w:rPr>
          <w:rFonts w:ascii="Arial" w:cs="Arial" w:eastAsia="Arial" w:hAnsi="Arial"/>
          <w:color w:val="404040"/>
          <w:sz w:val="20"/>
          <w:szCs w:val="20"/>
        </w:rPr>
        <w:t xml:space="preserve"> — Kept stakeholders continuously informed, resolved scope conflicts, and maintained consistent delivery momentum across multiple workstreams.</w:t>
      </w:r>
    </w:p>
    <w:p>
      <w:pPr>
        <w:pStyle w:val="ListParagraph"/>
        <w:numPr>
          <w:ilvl w:val="0"/>
          <w:numId w:val="2"/>
        </w:numPr>
        <w:spacing w:before="46" w:after="46"/>
      </w:pPr>
      <w:r>
        <w:rPr>
          <w:rFonts w:ascii="Arial" w:cs="Arial" w:eastAsia="Arial" w:hAnsi="Arial"/>
          <w:b/>
          <w:bCs/>
          <w:color w:val="1F1F1F"/>
          <w:sz w:val="20"/>
          <w:szCs w:val="20"/>
        </w:rPr>
        <w:t xml:space="preserve">Accelerated financial system enhancements through data analysis</w:t>
      </w:r>
      <w:r>
        <w:rPr>
          <w:rFonts w:ascii="Arial" w:cs="Arial" w:eastAsia="Arial" w:hAnsi="Arial"/>
          <w:color w:val="404040"/>
          <w:sz w:val="20"/>
          <w:szCs w:val="20"/>
        </w:rPr>
        <w:t xml:space="preserve"> — Analyzed business performance data to develop improvement recommendations presented to senior management; adopted in two of three cases, accelerating system delivery by an average of six weeks.</w:t>
      </w:r>
    </w:p>
    <w:p>
      <w:pPr>
        <w:spacing w:before="150" w:after="20"/>
      </w:pPr>
      <w:r>
        <w:rPr>
          <w:rFonts w:ascii="Arial" w:cs="Arial" w:eastAsia="Arial" w:hAnsi="Arial"/>
          <w:b/>
          <w:bCs/>
          <w:color w:val="1F1F1F"/>
          <w:sz w:val="21"/>
          <w:szCs w:val="21"/>
        </w:rPr>
        <w:t xml:space="preserve">TARGET CORPORATION</w:t>
      </w:r>
      <w:r>
        <w:rPr>
          <w:rFonts w:ascii="Arial" w:cs="Arial" w:eastAsia="Arial" w:hAnsi="Arial"/>
          <w:color w:val="404040"/>
          <w:sz w:val="20"/>
          <w:szCs w:val="20"/>
        </w:rPr>
        <w:t xml:space="preserve">  |  Columbus, OH  |  09/2011 – 03/2014</w:t>
      </w:r>
    </w:p>
    <w:p>
      <w:pPr>
        <w:spacing w:before="0" w:after="60"/>
      </w:pPr>
      <w:r>
        <w:rPr>
          <w:rFonts w:ascii="Arial" w:cs="Arial" w:eastAsia="Arial" w:hAnsi="Arial"/>
          <w:b/>
          <w:bCs/>
          <w:color w:val="1F4E79"/>
          <w:sz w:val="20"/>
          <w:szCs w:val="20"/>
        </w:rPr>
        <w:t xml:space="preserve">Business Analyst / Project Coordinator</w:t>
      </w:r>
    </w:p>
    <w:p>
      <w:pPr>
        <w:spacing w:before="46" w:after="46"/>
        <w:contextualSpacing w:val="false"/>
      </w:pPr>
      <w:r>
        <w:rPr>
          <w:rFonts w:ascii="Arial" w:cs="Arial" w:eastAsia="Arial" w:hAnsi="Arial"/>
          <w:color w:val="404040"/>
          <w:sz w:val="20"/>
          <w:szCs w:val="20"/>
        </w:rPr>
        <w:t xml:space="preserve">Performed business and systems analysis for procurement, billing, and financial operations system enhancements supporting 1,800+ store locations. Facilitated requirements sessions, conducted gap analysis, and produced functional specifications for development and implementation teams.</w:t>
      </w:r>
    </w:p>
    <w:p>
      <w:pPr>
        <w:pStyle w:val="ListParagraph"/>
        <w:numPr>
          <w:ilvl w:val="0"/>
          <w:numId w:val="2"/>
        </w:numPr>
        <w:spacing w:before="46" w:after="46"/>
      </w:pPr>
      <w:r>
        <w:rPr>
          <w:rFonts w:ascii="Arial" w:cs="Arial" w:eastAsia="Arial" w:hAnsi="Arial"/>
          <w:b/>
          <w:bCs/>
          <w:color w:val="1F1F1F"/>
          <w:sz w:val="20"/>
          <w:szCs w:val="20"/>
        </w:rPr>
        <w:t xml:space="preserve">Delivered 300+ documented business and financial requirements</w:t>
      </w:r>
      <w:r>
        <w:rPr>
          <w:rFonts w:ascii="Arial" w:cs="Arial" w:eastAsia="Arial" w:hAnsi="Arial"/>
          <w:color w:val="404040"/>
          <w:sz w:val="20"/>
          <w:szCs w:val="20"/>
        </w:rPr>
        <w:t xml:space="preserve"> — Facilitated 70+ analysis and requirements sessions across finance, procurement, and operations teams, producing functional specifications that underpinned three on-time, on-scope system implementations.</w:t>
      </w:r>
    </w:p>
    <w:p>
      <w:pPr>
        <w:pStyle w:val="ListParagraph"/>
        <w:numPr>
          <w:ilvl w:val="0"/>
          <w:numId w:val="2"/>
        </w:numPr>
        <w:spacing w:before="46" w:after="46"/>
      </w:pPr>
      <w:r>
        <w:rPr>
          <w:rFonts w:ascii="Arial" w:cs="Arial" w:eastAsia="Arial" w:hAnsi="Arial"/>
          <w:b/>
          <w:bCs/>
          <w:color w:val="1F1F1F"/>
          <w:sz w:val="20"/>
          <w:szCs w:val="20"/>
        </w:rPr>
        <w:t xml:space="preserve">Identified and resolved critical system and process gaps</w:t>
      </w:r>
      <w:r>
        <w:rPr>
          <w:rFonts w:ascii="Arial" w:cs="Arial" w:eastAsia="Arial" w:hAnsi="Arial"/>
          <w:color w:val="404040"/>
          <w:sz w:val="20"/>
          <w:szCs w:val="20"/>
        </w:rPr>
        <w:t xml:space="preserve"> — Conducted gap analysis and recommended solutions improving financial process continuity for 200+ end users.</w:t>
      </w:r>
    </w:p>
    <w:p>
      <w:pPr>
        <w:pBdr>
          <w:bottom w:val="single" w:color="2E75B6" w:sz="5" w:space="1"/>
        </w:pBdr>
        <w:spacing w:before="150" w:after="50"/>
      </w:pPr>
      <w:r>
        <w:rPr>
          <w:rFonts w:ascii="Arial" w:cs="Arial" w:eastAsia="Arial" w:hAnsi="Arial"/>
          <w:b/>
          <w:bCs/>
          <w:color w:val="1F4E79"/>
          <w:sz w:val="22"/>
          <w:szCs w:val="22"/>
        </w:rPr>
        <w:t xml:space="preserve">EDUCATION</w:t>
      </w:r>
    </w:p>
    <w:p>
      <w:pPr>
        <w:spacing w:before="40" w:after="30"/>
      </w:pPr>
      <w:r>
        <w:rPr>
          <w:rFonts w:ascii="Arial" w:cs="Arial" w:eastAsia="Arial" w:hAnsi="Arial"/>
          <w:b/>
          <w:bCs/>
          <w:color w:val="1F1F1F"/>
          <w:sz w:val="20"/>
          <w:szCs w:val="20"/>
        </w:rPr>
        <w:t xml:space="preserve">Master of Science (MS), Data Science</w:t>
      </w:r>
      <w:r>
        <w:rPr>
          <w:rFonts w:ascii="Arial" w:cs="Arial" w:eastAsia="Arial" w:hAnsi="Arial"/>
          <w:color w:val="404040"/>
          <w:sz w:val="20"/>
          <w:szCs w:val="20"/>
        </w:rPr>
        <w:t xml:space="preserve">  —  Regis University, Denver, CO</w:t>
      </w:r>
    </w:p>
    <w:p>
      <w:pPr>
        <w:spacing w:before="30" w:after="40"/>
      </w:pPr>
      <w:r>
        <w:rPr>
          <w:rFonts w:ascii="Arial" w:cs="Arial" w:eastAsia="Arial" w:hAnsi="Arial"/>
          <w:b/>
          <w:bCs/>
          <w:color w:val="1F1F1F"/>
          <w:sz w:val="20"/>
          <w:szCs w:val="20"/>
        </w:rPr>
        <w:t xml:space="preserve">Bachelor of Science, Microbiology</w:t>
      </w:r>
      <w:r>
        <w:rPr>
          <w:rFonts w:ascii="Arial" w:cs="Arial" w:eastAsia="Arial" w:hAnsi="Arial"/>
          <w:color w:val="404040"/>
          <w:sz w:val="20"/>
          <w:szCs w:val="20"/>
        </w:rPr>
        <w:t xml:space="preserve">  —  Arizona State University, Tempe, AZ</w:t>
      </w:r>
    </w:p>
    <w:sectPr>
      <w:pgSz w:w="12240" w:h="15840" w:orient="portrait"/>
      <w:pgMar w:top="760" w:right="960" w:bottom="7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2026-03-23T18:55:11.590Z</dcterms:created>
  <dcterms:modified xsi:type="dcterms:W3CDTF">2026-03-23T18:55:11.592Z</dcterms:modified>
</cp:coreProperties>
</file>

<file path=docProps/custom.xml><?xml version="1.0" encoding="utf-8"?>
<Properties xmlns="http://schemas.openxmlformats.org/officeDocument/2006/custom-properties" xmlns:vt="http://schemas.openxmlformats.org/officeDocument/2006/docPropsVTypes"/>
</file>