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val="0"/>
          <w:color w:val="8B7030"/>
          <w:sz w:val="32"/>
        </w:rPr>
        <w:t>DOXA &amp; CO</w:t>
      </w:r>
    </w:p>
    <w:p>
      <w:pPr>
        <w:spacing w:before="0" w:after="120"/>
      </w:pPr>
      <w:r>
        <w:rPr>
          <w:b/>
          <w:color w:val="059669"/>
          <w:sz w:val="14"/>
        </w:rPr>
        <w:t>STRATEGY · PRODUCT · DELIVERY</w:t>
      </w:r>
    </w:p>
    <w:p>
      <w:pPr>
        <w:spacing w:before="0" w:after="80"/>
        <w:jc w:val="right"/>
      </w:pPr>
      <w:r>
        <w:rPr>
          <w:color w:val="A8A29E"/>
          <w:sz w:val="18"/>
        </w:rPr>
        <w:t>Enam Egyir</w:t>
        <w:br/>
        <w:t>ename@doxaandco.co</w:t>
        <w:br/>
        <w:t>doxaandco.co</w:t>
      </w:r>
    </w:p>
    <w:p>
      <w:pPr>
        <w:spacing w:before="0" w:after="240"/>
        <w:pBdr>
          <w:bottom w:val="single" w:sz="12" w:space="1" w:color="C9A44A"/>
        </w:pBdr>
      </w:pPr>
    </w:p>
    <w:p>
      <w:pPr>
        <w:spacing w:before="0" w:after="80"/>
      </w:pPr>
      <w:r>
        <w:rPr>
          <w:rFonts w:ascii="Georgia" w:hAnsi="Georgia"/>
          <w:b w:val="0"/>
          <w:color w:val="1C1917"/>
          <w:sz w:val="40"/>
        </w:rPr>
        <w:t>Monthly Retainer Agreement</w:t>
      </w:r>
    </w:p>
    <w:p>
      <w:pPr>
        <w:spacing w:after="280"/>
      </w:pPr>
      <w:r>
        <w:rPr>
          <w:color w:val="A8A29E"/>
          <w:sz w:val="20"/>
        </w:rPr>
        <w:t>Fractional Product Owner &amp; Fractional AI Officer Engagements</w:t>
      </w:r>
    </w:p>
    <w:p>
      <w:pPr>
        <w:spacing w:after="120"/>
      </w:pPr>
      <w:r>
        <w:rPr>
          <w:b w:val="0"/>
          <w:color w:val="57534E"/>
          <w:sz w:val="22"/>
        </w:rPr>
        <w:t xml:space="preserve">This Monthly Retainer Agreement ("Agreement") is entered into as of the Effective Date below, between </w:t>
      </w:r>
      <w:r>
        <w:rPr>
          <w:b/>
          <w:color w:val="1C1917"/>
          <w:sz w:val="22"/>
        </w:rPr>
        <w:t>Doxa &amp; Co</w:t>
      </w:r>
      <w:r>
        <w:rPr>
          <w:b w:val="0"/>
          <w:color w:val="57534E"/>
          <w:sz w:val="22"/>
        </w:rPr>
        <w:t>, operated by Enam Egyir ("Consultant"), and the organization identified below ("Client").</w:t>
      </w:r>
    </w:p>
    <w:p>
      <w:pPr>
        <w:spacing w:before="360" w:after="120"/>
        <w:pBdr>
          <w:bottom w:val="single" w:sz="4" w:space="4" w:color="E7E5E0"/>
        </w:pBdr>
      </w:pPr>
      <w:r>
        <w:rPr>
          <w:rFonts w:ascii="Georgia" w:hAnsi="Georgia"/>
          <w:b/>
          <w:color w:val="1C1917"/>
          <w:sz w:val="24"/>
        </w:rPr>
        <w:t>Parties &amp; Engagement Details</w:t>
      </w:r>
    </w:p>
    <w:tbl>
      <w:tblPr>
        <w:tblStyle w:val="TableGrid"/>
        <w:tblW w:type="auto" w:w="0"/>
        <w:tblLook w:firstColumn="1" w:firstRow="1" w:lastColumn="0" w:lastRow="0" w:noHBand="0" w:noVBand="1" w:val="04A0"/>
      </w:tblPr>
      <w:tblGrid>
        <w:gridCol w:w="4464"/>
        <w:gridCol w:w="4464"/>
      </w:tblGrid>
      <w:tr>
        <w:tc>
          <w:tcPr>
            <w:tcW w:type="dxa" w:w="3168"/>
            <w:shd w:val="clear" w:color="auto" w:fill="FAFAF9"/>
          </w:tcPr>
          <w:p>
            <w:r>
              <w:rPr>
                <w:b/>
                <w:color w:val="292524"/>
                <w:sz w:val="18"/>
              </w:rPr>
              <w:t>Client / Organization</w:t>
            </w:r>
          </w:p>
        </w:tc>
        <w:tc>
          <w:tcPr>
            <w:tcW w:type="dxa" w:w="4464"/>
          </w:tcPr>
          <w:p/>
        </w:tc>
      </w:tr>
      <w:tr>
        <w:tc>
          <w:tcPr>
            <w:tcW w:type="dxa" w:w="3168"/>
            <w:shd w:val="clear" w:color="auto" w:fill="FAFAF9"/>
          </w:tcPr>
          <w:p>
            <w:r>
              <w:rPr>
                <w:b/>
                <w:color w:val="292524"/>
                <w:sz w:val="18"/>
              </w:rPr>
              <w:t>Primary Contact Name &amp; Title</w:t>
            </w:r>
          </w:p>
        </w:tc>
        <w:tc>
          <w:tcPr>
            <w:tcW w:type="dxa" w:w="4464"/>
          </w:tcPr>
          <w:p/>
        </w:tc>
      </w:tr>
      <w:tr>
        <w:tc>
          <w:tcPr>
            <w:tcW w:type="dxa" w:w="3168"/>
            <w:shd w:val="clear" w:color="auto" w:fill="FAFAF9"/>
          </w:tcPr>
          <w:p>
            <w:r>
              <w:rPr>
                <w:b/>
                <w:color w:val="292524"/>
                <w:sz w:val="18"/>
              </w:rPr>
              <w:t>Client Email</w:t>
            </w:r>
          </w:p>
        </w:tc>
        <w:tc>
          <w:tcPr>
            <w:tcW w:type="dxa" w:w="4464"/>
          </w:tcPr>
          <w:p/>
        </w:tc>
      </w:tr>
      <w:tr>
        <w:tc>
          <w:tcPr>
            <w:tcW w:type="dxa" w:w="3168"/>
            <w:shd w:val="clear" w:color="auto" w:fill="FAFAF9"/>
          </w:tcPr>
          <w:p>
            <w:r>
              <w:rPr>
                <w:b/>
                <w:color w:val="292524"/>
                <w:sz w:val="18"/>
              </w:rPr>
              <w:t>Engagement Type</w:t>
            </w:r>
          </w:p>
        </w:tc>
        <w:tc>
          <w:tcPr>
            <w:tcW w:type="dxa" w:w="4464"/>
          </w:tcPr>
          <w:p>
            <w:r>
              <w:rPr>
                <w:color w:val="57534E"/>
                <w:sz w:val="22"/>
              </w:rPr>
              <w:t>☐ Fractional Product Owner ☐ Fractional AI Officer</w:t>
            </w:r>
          </w:p>
        </w:tc>
      </w:tr>
      <w:tr>
        <w:tc>
          <w:tcPr>
            <w:tcW w:type="dxa" w:w="3168"/>
            <w:shd w:val="clear" w:color="auto" w:fill="FAFAF9"/>
          </w:tcPr>
          <w:p>
            <w:r>
              <w:rPr>
                <w:b/>
                <w:color w:val="292524"/>
                <w:sz w:val="18"/>
              </w:rPr>
              <w:t>Monthly Retainer Fee</w:t>
            </w:r>
          </w:p>
        </w:tc>
        <w:tc>
          <w:tcPr>
            <w:tcW w:type="dxa" w:w="4464"/>
          </w:tcPr>
          <w:p/>
        </w:tc>
      </w:tr>
      <w:tr>
        <w:tc>
          <w:tcPr>
            <w:tcW w:type="dxa" w:w="3168"/>
            <w:shd w:val="clear" w:color="auto" w:fill="FAFAF9"/>
          </w:tcPr>
          <w:p>
            <w:r>
              <w:rPr>
                <w:b/>
                <w:color w:val="292524"/>
                <w:sz w:val="18"/>
              </w:rPr>
              <w:t>Committed Hours / Week</w:t>
            </w:r>
          </w:p>
        </w:tc>
        <w:tc>
          <w:tcPr>
            <w:tcW w:type="dxa" w:w="4464"/>
          </w:tcPr>
          <w:p/>
        </w:tc>
      </w:tr>
      <w:tr>
        <w:tc>
          <w:tcPr>
            <w:tcW w:type="dxa" w:w="3168"/>
            <w:shd w:val="clear" w:color="auto" w:fill="FAFAF9"/>
          </w:tcPr>
          <w:p>
            <w:r>
              <w:rPr>
                <w:b/>
                <w:color w:val="292524"/>
                <w:sz w:val="18"/>
              </w:rPr>
              <w:t>Start Date</w:t>
            </w:r>
          </w:p>
        </w:tc>
        <w:tc>
          <w:tcPr>
            <w:tcW w:type="dxa" w:w="4464"/>
          </w:tcPr>
          <w:p/>
        </w:tc>
      </w:tr>
      <w:tr>
        <w:tc>
          <w:tcPr>
            <w:tcW w:type="dxa" w:w="3168"/>
            <w:shd w:val="clear" w:color="auto" w:fill="FAFAF9"/>
          </w:tcPr>
          <w:p>
            <w:r>
              <w:rPr>
                <w:b/>
                <w:color w:val="292524"/>
                <w:sz w:val="18"/>
              </w:rPr>
              <w:t>Minimum Commitment</w:t>
            </w:r>
          </w:p>
        </w:tc>
        <w:tc>
          <w:tcPr>
            <w:tcW w:type="dxa" w:w="4464"/>
          </w:tcPr>
          <w:p>
            <w:r>
              <w:rPr>
                <w:color w:val="57534E"/>
                <w:sz w:val="22"/>
              </w:rPr>
              <w:t>3 months</w:t>
            </w:r>
          </w:p>
        </w:tc>
      </w:tr>
      <w:tr>
        <w:tc>
          <w:tcPr>
            <w:tcW w:type="dxa" w:w="3168"/>
            <w:shd w:val="clear" w:color="auto" w:fill="FAFAF9"/>
          </w:tcPr>
          <w:p>
            <w:r>
              <w:rPr>
                <w:b/>
                <w:color w:val="292524"/>
                <w:sz w:val="18"/>
              </w:rPr>
              <w:t>Billing Cycle</w:t>
            </w:r>
          </w:p>
        </w:tc>
        <w:tc>
          <w:tcPr>
            <w:tcW w:type="dxa" w:w="4464"/>
          </w:tcPr>
          <w:p>
            <w:r>
              <w:rPr>
                <w:color w:val="57534E"/>
                <w:sz w:val="22"/>
              </w:rPr>
              <w:t>1st of each month, in advance</w:t>
            </w:r>
          </w:p>
        </w:tc>
      </w:tr>
    </w:tbl>
    <w:p/>
    <w:p>
      <w:pPr>
        <w:spacing w:before="360" w:after="120"/>
        <w:pBdr>
          <w:bottom w:val="single" w:sz="4" w:space="4" w:color="E7E5E0"/>
        </w:pBdr>
      </w:pPr>
      <w:r>
        <w:rPr>
          <w:rFonts w:ascii="Georgia" w:hAnsi="Georgia"/>
          <w:b/>
          <w:color w:val="1C1917"/>
          <w:sz w:val="24"/>
        </w:rPr>
        <w:t>1. Scope of Services</w:t>
      </w:r>
    </w:p>
    <w:p>
      <w:pPr>
        <w:spacing w:after="120"/>
      </w:pPr>
      <w:r>
        <w:rPr>
          <w:b w:val="0"/>
          <w:color w:val="57534E"/>
          <w:sz w:val="22"/>
        </w:rPr>
        <w:t>The Consultant will provide the services described below on a part-time, fractional basis. The scope is defined by the engagement type selected above.</w:t>
      </w:r>
    </w:p>
    <w:p>
      <w:r>
        <w:rPr>
          <w:b/>
          <w:color w:val="A8A29E"/>
          <w:sz w:val="18"/>
        </w:rPr>
        <w:t>FRACTIONAL PRODUCT OWNER INCLUDES:</w:t>
      </w:r>
    </w:p>
    <w:p>
      <w:pPr>
        <w:spacing w:after="60"/>
        <w:ind w:left="432"/>
      </w:pPr>
      <w:r>
        <w:rPr>
          <w:color w:val="57534E"/>
          <w:sz w:val="22"/>
        </w:rPr>
        <w:t>• Weekly sprint planning &amp; sprint review / retrospective sessions</w:t>
      </w:r>
    </w:p>
    <w:p>
      <w:pPr>
        <w:spacing w:after="60"/>
        <w:ind w:left="432"/>
      </w:pPr>
      <w:r>
        <w:rPr>
          <w:color w:val="57534E"/>
          <w:sz w:val="22"/>
        </w:rPr>
        <w:t>• Backlog ownership — writing, grooming, and prioritizing user stories</w:t>
      </w:r>
    </w:p>
    <w:p>
      <w:pPr>
        <w:spacing w:after="60"/>
        <w:ind w:left="432"/>
      </w:pPr>
      <w:r>
        <w:rPr>
          <w:color w:val="57534E"/>
          <w:sz w:val="22"/>
        </w:rPr>
        <w:t>• Roadmap definition and maintenance aligned to business objectives</w:t>
      </w:r>
    </w:p>
    <w:p>
      <w:pPr>
        <w:spacing w:after="60"/>
        <w:ind w:left="432"/>
      </w:pPr>
      <w:r>
        <w:rPr>
          <w:color w:val="57534E"/>
          <w:sz w:val="22"/>
        </w:rPr>
        <w:t>• Stakeholder reporting: OKRs, velocity, burn-down communication</w:t>
      </w:r>
    </w:p>
    <w:p>
      <w:pPr>
        <w:spacing w:after="60"/>
        <w:ind w:left="432"/>
      </w:pPr>
      <w:r>
        <w:rPr>
          <w:color w:val="57534E"/>
          <w:sz w:val="22"/>
        </w:rPr>
        <w:t>• Engineering alignment — bridging business requirements and technical delivery</w:t>
      </w:r>
    </w:p>
    <w:p>
      <w:pPr>
        <w:spacing w:after="60"/>
        <w:ind w:left="432"/>
      </w:pPr>
      <w:r>
        <w:rPr>
          <w:color w:val="57534E"/>
          <w:sz w:val="22"/>
        </w:rPr>
        <w:t>• Async availability via Slack or agreed channel for backlog questions</w:t>
      </w:r>
    </w:p>
    <w:p>
      <w:r>
        <w:rPr>
          <w:b/>
          <w:color w:val="A8A29E"/>
          <w:sz w:val="18"/>
        </w:rPr>
        <w:t>FRACTIONAL AI OFFICER INCLUDES:</w:t>
      </w:r>
    </w:p>
    <w:p>
      <w:pPr>
        <w:spacing w:after="60"/>
        <w:ind w:left="432"/>
      </w:pPr>
      <w:r>
        <w:rPr>
          <w:color w:val="57534E"/>
          <w:sz w:val="22"/>
        </w:rPr>
        <w:t>• Monthly AI strategy review and roadmap iteration</w:t>
      </w:r>
    </w:p>
    <w:p>
      <w:pPr>
        <w:spacing w:after="60"/>
        <w:ind w:left="432"/>
      </w:pPr>
      <w:r>
        <w:rPr>
          <w:color w:val="57534E"/>
          <w:sz w:val="22"/>
        </w:rPr>
        <w:t>• AI vendor and tool evaluation, selection, and management</w:t>
      </w:r>
    </w:p>
    <w:p>
      <w:pPr>
        <w:spacing w:after="60"/>
        <w:ind w:left="432"/>
      </w:pPr>
      <w:r>
        <w:rPr>
          <w:color w:val="57534E"/>
          <w:sz w:val="22"/>
        </w:rPr>
        <w:t>• Team AI literacy training and adoption facilitation</w:t>
      </w:r>
    </w:p>
    <w:p>
      <w:pPr>
        <w:spacing w:after="60"/>
        <w:ind w:left="432"/>
      </w:pPr>
      <w:r>
        <w:rPr>
          <w:color w:val="57534E"/>
          <w:sz w:val="22"/>
        </w:rPr>
        <w:t>• Oversight of any ongoing AI build or deployment from Tier 2 engagement</w:t>
      </w:r>
    </w:p>
    <w:p>
      <w:pPr>
        <w:spacing w:after="60"/>
        <w:ind w:left="432"/>
      </w:pPr>
      <w:r>
        <w:rPr>
          <w:color w:val="57534E"/>
          <w:sz w:val="22"/>
        </w:rPr>
        <w:t>• Compliance and risk review for all AI implementations</w:t>
      </w:r>
    </w:p>
    <w:p>
      <w:pPr>
        <w:spacing w:after="60"/>
        <w:ind w:left="432"/>
      </w:pPr>
      <w:r>
        <w:rPr>
          <w:color w:val="57534E"/>
          <w:sz w:val="22"/>
        </w:rPr>
        <w:t>• Executive reporting on AI ROI and progress vs. 90-day action plan</w:t>
      </w:r>
    </w:p>
    <w:p>
      <w:pPr>
        <w:spacing w:after="120"/>
      </w:pPr>
      <w:r>
        <w:rPr>
          <w:b w:val="0"/>
          <w:color w:val="57534E"/>
          <w:sz w:val="22"/>
        </w:rPr>
        <w:t>Services not listed above (e.g., custom development, documentation writing, vendor negotiations on behalf of Client) are out of scope and require a separate Statement of Work and additional compensation.</w:t>
      </w:r>
    </w:p>
    <w:p>
      <w:pPr>
        <w:spacing w:before="360" w:after="120"/>
        <w:pBdr>
          <w:bottom w:val="single" w:sz="4" w:space="4" w:color="E7E5E0"/>
        </w:pBdr>
      </w:pPr>
      <w:r>
        <w:rPr>
          <w:rFonts w:ascii="Georgia" w:hAnsi="Georgia"/>
          <w:b/>
          <w:color w:val="1C1917"/>
          <w:sz w:val="24"/>
        </w:rPr>
        <w:t>2. Fees &amp; Payment</w:t>
      </w:r>
    </w:p>
    <w:p>
      <w:pPr>
        <w:spacing w:after="120"/>
      </w:pPr>
      <w:r>
        <w:rPr>
          <w:b w:val="0"/>
          <w:color w:val="57534E"/>
          <w:sz w:val="22"/>
        </w:rPr>
        <w:t xml:space="preserve">The monthly retainer fee is due on the </w:t>
      </w:r>
      <w:r>
        <w:rPr>
          <w:b/>
          <w:color w:val="1C1917"/>
          <w:sz w:val="22"/>
        </w:rPr>
        <w:t>1st of each calendar month</w:t>
      </w:r>
      <w:r>
        <w:rPr>
          <w:b w:val="0"/>
          <w:color w:val="57534E"/>
          <w:sz w:val="22"/>
        </w:rPr>
        <w:t>, paid in advance. The first month's invoice is due before the Effective Start Date. Accepted payment methods: ACH bank transfer, Zelle, or wire transfer (details provided on invoice).</w:t>
      </w:r>
    </w:p>
    <w:p>
      <w:pPr>
        <w:spacing w:after="120"/>
      </w:pPr>
      <w:r>
        <w:rPr>
          <w:b/>
          <w:color w:val="1C1917"/>
          <w:sz w:val="22"/>
        </w:rPr>
        <w:t>Late Payment:</w:t>
      </w:r>
      <w:r>
        <w:rPr>
          <w:b w:val="0"/>
          <w:color w:val="57534E"/>
          <w:sz w:val="22"/>
        </w:rPr>
        <w:t xml:space="preserve"> Invoices unpaid after 7 days are subject to a 1.5% monthly late fee. If payment is not received within 14 days of the due date, the Consultant may suspend services without penalty until payment is received.</w:t>
      </w:r>
    </w:p>
    <w:p>
      <w:pPr>
        <w:spacing w:after="120"/>
      </w:pPr>
      <w:r>
        <w:rPr>
          <w:b/>
          <w:color w:val="1C1917"/>
          <w:sz w:val="22"/>
        </w:rPr>
        <w:t>Overage Hours:</w:t>
      </w:r>
      <w:r>
        <w:rPr>
          <w:b w:val="0"/>
          <w:color w:val="57534E"/>
          <w:sz w:val="22"/>
        </w:rPr>
        <w:t xml:space="preserve"> Hours exceeding the committed weekly allocation (see table above) are billed at $250 per hour, invoiced on the following month's billing cycle. The Consultant will notify the Client before incurring overages unless the Client has pre-authorized them.</w:t>
      </w:r>
    </w:p>
    <w:p>
      <w:pPr>
        <w:spacing w:before="360" w:after="120"/>
        <w:pBdr>
          <w:bottom w:val="single" w:sz="4" w:space="4" w:color="E7E5E0"/>
        </w:pBdr>
      </w:pPr>
      <w:r>
        <w:rPr>
          <w:rFonts w:ascii="Georgia" w:hAnsi="Georgia"/>
          <w:b/>
          <w:color w:val="1C1917"/>
          <w:sz w:val="24"/>
        </w:rPr>
        <w:t>3. Term &amp; Minimum Commitment</w:t>
      </w:r>
    </w:p>
    <w:p>
      <w:pPr>
        <w:spacing w:after="120"/>
      </w:pPr>
      <w:r>
        <w:rPr>
          <w:b w:val="0"/>
          <w:color w:val="57534E"/>
          <w:sz w:val="22"/>
        </w:rPr>
        <w:t xml:space="preserve">This Agreement has a minimum term of </w:t>
      </w:r>
      <w:r>
        <w:rPr>
          <w:b/>
          <w:color w:val="1C1917"/>
          <w:sz w:val="22"/>
        </w:rPr>
        <w:t>3 months</w:t>
      </w:r>
      <w:r>
        <w:rPr>
          <w:b w:val="0"/>
          <w:color w:val="57534E"/>
          <w:sz w:val="22"/>
        </w:rPr>
        <w:t xml:space="preserve"> from the Effective Start Date. After the minimum term, the Agreement continues on a month-to-month basis until terminated by either party.</w:t>
      </w:r>
    </w:p>
    <w:p>
      <w:pPr>
        <w:spacing w:after="120"/>
      </w:pPr>
      <w:r>
        <w:rPr>
          <w:b w:val="0"/>
          <w:color w:val="57534E"/>
          <w:sz w:val="22"/>
        </w:rPr>
        <w:t>The 3-month minimum exists because meaningful product or AI work requires enough runway to show results. Short engagements typically produce surface-level output and don't serve either party well.</w:t>
      </w:r>
    </w:p>
    <w:p>
      <w:pPr>
        <w:spacing w:before="360" w:after="120"/>
        <w:pBdr>
          <w:bottom w:val="single" w:sz="4" w:space="4" w:color="E7E5E0"/>
        </w:pBdr>
      </w:pPr>
      <w:r>
        <w:rPr>
          <w:rFonts w:ascii="Georgia" w:hAnsi="Georgia"/>
          <w:b/>
          <w:color w:val="1C1917"/>
          <w:sz w:val="24"/>
        </w:rPr>
        <w:t>4. Termination</w:t>
      </w:r>
    </w:p>
    <w:p>
      <w:pPr>
        <w:spacing w:after="120"/>
      </w:pPr>
      <w:r>
        <w:rPr>
          <w:b/>
          <w:color w:val="1C1917"/>
          <w:sz w:val="22"/>
        </w:rPr>
        <w:t>After minimum term:</w:t>
      </w:r>
      <w:r>
        <w:rPr>
          <w:b w:val="0"/>
          <w:color w:val="57534E"/>
          <w:sz w:val="22"/>
        </w:rPr>
        <w:t xml:space="preserve"> Either party may terminate this Agreement by providing </w:t>
      </w:r>
      <w:r>
        <w:rPr>
          <w:b/>
          <w:color w:val="1C1917"/>
          <w:sz w:val="22"/>
        </w:rPr>
        <w:t>30 days' written notice</w:t>
      </w:r>
      <w:r>
        <w:rPr>
          <w:b w:val="0"/>
          <w:color w:val="57534E"/>
          <w:sz w:val="22"/>
        </w:rPr>
        <w:t xml:space="preserve"> via email. The final 30-day period is billable in full.</w:t>
      </w:r>
    </w:p>
    <w:p>
      <w:pPr>
        <w:spacing w:after="120"/>
      </w:pPr>
      <w:r>
        <w:rPr>
          <w:b/>
          <w:color w:val="1C1917"/>
          <w:sz w:val="22"/>
        </w:rPr>
        <w:t>During minimum term:</w:t>
      </w:r>
      <w:r>
        <w:rPr>
          <w:b w:val="0"/>
          <w:color w:val="57534E"/>
          <w:sz w:val="22"/>
        </w:rPr>
        <w:t xml:space="preserve"> If the Client terminates before the 3-month minimum is complete, the remaining retainer fees for the unexpired term are due within 14 days of termination notice. This is not a penalty — it reflects the opportunity cost of declining other work to hold this capacity.</w:t>
      </w:r>
    </w:p>
    <w:p>
      <w:pPr>
        <w:spacing w:after="120"/>
      </w:pPr>
      <w:r>
        <w:rPr>
          <w:b/>
          <w:color w:val="1C1917"/>
          <w:sz w:val="22"/>
        </w:rPr>
        <w:t>Immediate termination by Consultant:</w:t>
      </w:r>
      <w:r>
        <w:rPr>
          <w:b w:val="0"/>
          <w:color w:val="57534E"/>
          <w:sz w:val="22"/>
        </w:rPr>
        <w:t xml:space="preserve"> Doxa &amp; Co may terminate immediately if: (a) the Client's payment is more than 14 days overdue, (b) the Client requests work that conflicts with the Consultant's other commitments or professional ethics, or (c) the working relationship becomes hostile or untenable.</w:t>
      </w:r>
    </w:p>
    <w:p>
      <w:pPr>
        <w:spacing w:before="360" w:after="120"/>
        <w:pBdr>
          <w:bottom w:val="single" w:sz="4" w:space="4" w:color="E7E5E0"/>
        </w:pBdr>
      </w:pPr>
      <w:r>
        <w:rPr>
          <w:rFonts w:ascii="Georgia" w:hAnsi="Georgia"/>
          <w:b/>
          <w:color w:val="1C1917"/>
          <w:sz w:val="24"/>
        </w:rPr>
        <w:t>5. Availability &amp; Communication</w:t>
      </w:r>
    </w:p>
    <w:p>
      <w:pPr>
        <w:spacing w:after="120"/>
      </w:pPr>
      <w:r>
        <w:rPr>
          <w:b w:val="0"/>
          <w:color w:val="57534E"/>
          <w:sz w:val="22"/>
        </w:rPr>
        <w:t>The Consultant's committed hours per week are stated above. The Consultant will be available for meetings within those hours, scheduled with at least 24 hours' advance notice. Same-day response is not guaranteed. Standard response time for async messages is one business day.</w:t>
      </w:r>
    </w:p>
    <w:p>
      <w:pPr>
        <w:spacing w:after="120"/>
      </w:pPr>
      <w:r>
        <w:rPr>
          <w:b w:val="0"/>
          <w:color w:val="57534E"/>
          <w:sz w:val="22"/>
        </w:rPr>
        <w:t>The Consultant operates in US Eastern / Central time zones. Engagements with international clients may require occasional early or late scheduling, accommodated by mutual agreement.</w:t>
      </w:r>
    </w:p>
    <w:p>
      <w:pPr>
        <w:spacing w:before="360" w:after="120"/>
        <w:pBdr>
          <w:bottom w:val="single" w:sz="4" w:space="4" w:color="E7E5E0"/>
        </w:pBdr>
      </w:pPr>
      <w:r>
        <w:rPr>
          <w:rFonts w:ascii="Georgia" w:hAnsi="Georgia"/>
          <w:b/>
          <w:color w:val="1C1917"/>
          <w:sz w:val="24"/>
        </w:rPr>
        <w:t>6. Intellectual Property</w:t>
      </w:r>
    </w:p>
    <w:p>
      <w:pPr>
        <w:spacing w:after="120"/>
      </w:pPr>
      <w:r>
        <w:rPr>
          <w:b w:val="0"/>
          <w:color w:val="57534E"/>
          <w:sz w:val="22"/>
        </w:rPr>
        <w:t>All work product produced specifically for the Client under this Agreement — including roadmaps, backlog documentation, strategy documents, and AI implementation plans — becomes the property of the Client upon full payment of all fees owed.</w:t>
      </w:r>
    </w:p>
    <w:p>
      <w:pPr>
        <w:spacing w:after="120"/>
      </w:pPr>
      <w:r>
        <w:rPr>
          <w:b w:val="0"/>
          <w:color w:val="57534E"/>
          <w:sz w:val="22"/>
        </w:rPr>
        <w:t>The Consultant retains the right to use general methodologies, frameworks, and expertise developed over the course of the engagement in future work with other clients, as long as confidential Client-specific information is not disclosed.</w:t>
      </w:r>
    </w:p>
    <w:p>
      <w:pPr>
        <w:spacing w:before="360" w:after="120"/>
        <w:pBdr>
          <w:bottom w:val="single" w:sz="4" w:space="4" w:color="E7E5E0"/>
        </w:pBdr>
      </w:pPr>
      <w:r>
        <w:rPr>
          <w:rFonts w:ascii="Georgia" w:hAnsi="Georgia"/>
          <w:b/>
          <w:color w:val="1C1917"/>
          <w:sz w:val="24"/>
        </w:rPr>
        <w:t>7. Confidentiality</w:t>
      </w:r>
    </w:p>
    <w:p>
      <w:pPr>
        <w:spacing w:after="120"/>
      </w:pPr>
      <w:r>
        <w:rPr>
          <w:b w:val="0"/>
          <w:color w:val="57534E"/>
          <w:sz w:val="22"/>
        </w:rPr>
        <w:t xml:space="preserve">Both parties agree to maintain the confidentiality of all proprietary, technical, financial, and strategic information exchanged during this engagement. This obligation survives termination of the Agreement for a period of </w:t>
      </w:r>
      <w:r>
        <w:rPr>
          <w:b/>
          <w:color w:val="1C1917"/>
          <w:sz w:val="22"/>
        </w:rPr>
        <w:t>2 years</w:t>
      </w:r>
      <w:r>
        <w:rPr>
          <w:b w:val="0"/>
          <w:color w:val="57534E"/>
          <w:sz w:val="22"/>
        </w:rPr>
        <w:t>. If a separate NDA has been signed, those terms govern in the event of conflict.</w:t>
      </w:r>
    </w:p>
    <w:p>
      <w:pPr>
        <w:spacing w:before="360" w:after="120"/>
        <w:pBdr>
          <w:bottom w:val="single" w:sz="4" w:space="4" w:color="E7E5E0"/>
        </w:pBdr>
      </w:pPr>
      <w:r>
        <w:rPr>
          <w:rFonts w:ascii="Georgia" w:hAnsi="Georgia"/>
          <w:b/>
          <w:color w:val="1C1917"/>
          <w:sz w:val="24"/>
        </w:rPr>
        <w:t>8. No Exclusivity</w:t>
      </w:r>
    </w:p>
    <w:p>
      <w:pPr>
        <w:spacing w:after="120"/>
      </w:pPr>
      <w:r>
        <w:rPr>
          <w:b w:val="0"/>
          <w:color w:val="57534E"/>
          <w:sz w:val="22"/>
        </w:rPr>
        <w:t>This Agreement is non-exclusive. The Consultant may work with other clients simultaneously, including companies in similar industries, except where a direct competitive conflict exists and has been disclosed and agreed to by both parties in writing.</w:t>
      </w:r>
    </w:p>
    <w:p>
      <w:pPr>
        <w:spacing w:before="360" w:after="120"/>
        <w:pBdr>
          <w:bottom w:val="single" w:sz="4" w:space="4" w:color="E7E5E0"/>
        </w:pBdr>
      </w:pPr>
      <w:r>
        <w:rPr>
          <w:rFonts w:ascii="Georgia" w:hAnsi="Georgia"/>
          <w:b/>
          <w:color w:val="1C1917"/>
          <w:sz w:val="24"/>
        </w:rPr>
        <w:t>9. Limitation of Liability</w:t>
      </w:r>
    </w:p>
    <w:p>
      <w:pPr>
        <w:spacing w:after="120"/>
      </w:pPr>
      <w:r>
        <w:rPr>
          <w:b w:val="0"/>
          <w:color w:val="57534E"/>
          <w:sz w:val="22"/>
        </w:rPr>
        <w:t>The Consultant's total liability under this Agreement shall not exceed the fees paid in the 3 months immediately preceding the claim. The Consultant is not liable for indirect, consequential, or speculative damages. The Client acknowledges that product and AI consulting outcomes depend on many factors outside the Consultant's control, including engineering execution, organizational decision-making, and market conditions.</w:t>
      </w:r>
    </w:p>
    <w:p>
      <w:pPr>
        <w:spacing w:before="360" w:after="120"/>
        <w:pBdr>
          <w:bottom w:val="single" w:sz="4" w:space="4" w:color="E7E5E0"/>
        </w:pBdr>
      </w:pPr>
      <w:r>
        <w:rPr>
          <w:rFonts w:ascii="Georgia" w:hAnsi="Georgia"/>
          <w:b/>
          <w:color w:val="1C1917"/>
          <w:sz w:val="24"/>
        </w:rPr>
        <w:t>10. Governing Law</w:t>
      </w:r>
    </w:p>
    <w:p>
      <w:pPr>
        <w:spacing w:after="120"/>
      </w:pPr>
      <w:r>
        <w:rPr>
          <w:b w:val="0"/>
          <w:color w:val="57534E"/>
          <w:sz w:val="22"/>
        </w:rPr>
        <w:t>This Agreement is governed by the laws of the State of [Consultant's State of Residence — to be specified]. Any disputes shall first be attempted to be resolved through good-faith mediation.</w:t>
      </w:r>
    </w:p>
    <w:tbl>
      <w:tblPr>
        <w:tblStyle w:val="TableGrid"/>
        <w:tblW w:type="auto" w:w="0"/>
        <w:tblLook w:firstColumn="1" w:firstRow="1" w:lastColumn="0" w:lastRow="0" w:noHBand="0" w:noVBand="1" w:val="04A0"/>
      </w:tblPr>
      <w:tblGrid>
        <w:gridCol w:w="8928"/>
      </w:tblGrid>
      <w:tr>
        <w:tc>
          <w:tcPr>
            <w:tcW w:type="dxa" w:w="8928"/>
            <w:shd w:val="clear" w:color="auto" w:fill="FEF9EC"/>
          </w:tcPr>
          <w:p>
            <w:r>
              <w:rPr>
                <w:color w:val="292524"/>
                <w:sz w:val="22"/>
              </w:rPr>
              <w:t>Plain language summary: You pay monthly in advance, give 30 days' notice to stop after 3 months, and own everything produced. The Consultant shows up, does the work, and protects your information. If you leave early during the 3-month term, you owe the remaining months — this protects the Consultant from holding capacity that was then vacated with no notice.</w:t>
            </w:r>
          </w:p>
        </w:tc>
      </w:tr>
    </w:tbl>
    <w:p/>
    <w:p>
      <w:pPr>
        <w:spacing w:before="360" w:after="120"/>
        <w:pBdr>
          <w:bottom w:val="single" w:sz="4" w:space="4" w:color="E7E5E0"/>
        </w:pBdr>
      </w:pPr>
      <w:r>
        <w:rPr>
          <w:rFonts w:ascii="Georgia" w:hAnsi="Georgia"/>
          <w:b/>
          <w:color w:val="1C1917"/>
          <w:sz w:val="24"/>
        </w:rPr>
        <w:t>Signatures</w:t>
      </w:r>
    </w:p>
    <w:p>
      <w:pPr>
        <w:spacing w:after="120"/>
      </w:pPr>
      <w:r>
        <w:rPr>
          <w:b w:val="0"/>
          <w:color w:val="57534E"/>
          <w:sz w:val="22"/>
        </w:rPr>
        <w:t>Both parties agree to the terms of this Monthly Retainer Agreement as of the Effective Date.</w:t>
      </w:r>
    </w:p>
    <w:p/>
    <w:tbl>
      <w:tblPr>
        <w:tblW w:type="auto" w:w="0"/>
        <w:tblLook w:firstColumn="1" w:firstRow="1" w:lastColumn="0" w:lastRow="0" w:noHBand="0" w:noVBand="1" w:val="04A0"/>
      </w:tblPr>
      <w:tblGrid>
        <w:gridCol w:w="4464"/>
        <w:gridCol w:w="4464"/>
      </w:tblGrid>
      <w:tr>
        <w:tc>
          <w:tcPr>
            <w:tcW w:type="dxa" w:w="4464"/>
          </w:tcPr>
          <w:p>
            <w:r>
              <w:rPr>
                <w:b/>
                <w:color w:val="78716C"/>
                <w:sz w:val="18"/>
              </w:rPr>
              <w:t>CLIENT</w:t>
            </w:r>
          </w:p>
          <w:p>
            <w:r>
              <w:br/>
              <w:br/>
            </w:r>
          </w:p>
          <w:p>
            <w:r>
              <w:rPr>
                <w:color w:val="78716C"/>
                <w:sz w:val="18"/>
              </w:rPr>
              <w:t>Signature: _______________________________</w:t>
            </w:r>
          </w:p>
          <w:p>
            <w:r>
              <w:rPr>
                <w:sz w:val="18"/>
              </w:rPr>
              <w:t>Printed Name: _______________________________</w:t>
              <w:br/>
            </w:r>
          </w:p>
          <w:p>
            <w:r>
              <w:rPr>
                <w:sz w:val="18"/>
              </w:rPr>
              <w:t>Date: _______________________________</w:t>
              <w:br/>
            </w:r>
          </w:p>
        </w:tc>
        <w:tc>
          <w:tcPr>
            <w:tcW w:type="dxa" w:w="4464"/>
          </w:tcPr>
          <w:p>
            <w:r>
              <w:rPr>
                <w:b/>
                <w:color w:val="78716C"/>
                <w:sz w:val="18"/>
              </w:rPr>
              <w:t>DOXA &amp; CO</w:t>
            </w:r>
          </w:p>
          <w:p>
            <w:r>
              <w:br/>
              <w:br/>
            </w:r>
          </w:p>
          <w:p>
            <w:r>
              <w:rPr>
                <w:color w:val="78716C"/>
                <w:sz w:val="18"/>
              </w:rPr>
              <w:t>Signature: _______________________________</w:t>
            </w:r>
          </w:p>
          <w:p>
            <w:r>
              <w:rPr>
                <w:sz w:val="18"/>
              </w:rPr>
              <w:t>Printed Name: _______________________________</w:t>
              <w:br/>
            </w:r>
          </w:p>
          <w:p>
            <w:r>
              <w:rPr>
                <w:sz w:val="18"/>
              </w:rPr>
              <w:t>Date: _______________________________</w:t>
              <w:br/>
            </w:r>
          </w:p>
        </w:tc>
      </w:tr>
    </w:tbl>
    <w:p>
      <w:pPr>
        <w:spacing w:before="480"/>
        <w:pBdr>
          <w:bottom w:val="single" w:sz="4" w:space="4" w:color="E7E5E0"/>
        </w:pBdr>
      </w:pPr>
      <w:r>
        <w:rPr>
          <w:color w:val="A8A29E"/>
          <w:sz w:val="16"/>
        </w:rPr>
        <w:t>Doxa &amp; Co  ·  ename@doxaandco.co  ·  doxaandco.co    |    09_Retainer_Agreement</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57534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