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color w:val="8B7030"/>
          <w:sz w:val="30"/>
        </w:rPr>
        <w:t>DOXA &amp; CO</w:t>
      </w:r>
    </w:p>
    <w:p>
      <w:pPr>
        <w:spacing w:before="0" w:after="160"/>
      </w:pPr>
      <w:r>
        <w:rPr>
          <w:b/>
          <w:color w:val="059669"/>
          <w:sz w:val="14"/>
        </w:rPr>
        <w:t>STRATEGY · PRODUCT · DELIVERY</w:t>
      </w:r>
    </w:p>
    <w:p>
      <w:pPr>
        <w:spacing w:before="0" w:after="200"/>
        <w:pBdr>
          <w:bottom w:val="single" w:sz="12" w:space="4" w:color="C9A44A"/>
        </w:pBdr>
      </w:pPr>
    </w:p>
    <w:p>
      <w:pPr>
        <w:spacing w:after="80"/>
      </w:pPr>
      <w:r>
        <w:rPr>
          <w:b/>
          <w:color w:val="A8A29E"/>
          <w:sz w:val="18"/>
        </w:rPr>
        <w:t>WEBSITE AUDIT REPORT  ·  REVISION 3  ·  FRESH EYES</w:t>
      </w:r>
    </w:p>
    <w:p>
      <w:pPr>
        <w:spacing w:after="120"/>
      </w:pPr>
      <w:r>
        <w:rPr>
          <w:rFonts w:ascii="Georgia" w:hAnsi="Georgia"/>
          <w:b w:val="0"/>
          <w:color w:val="1C1917"/>
          <w:sz w:val="44"/>
        </w:rPr>
        <w:t>doxaandco.co — Full Site Audit</w:t>
      </w:r>
    </w:p>
    <w:p>
      <w:pPr>
        <w:spacing w:after="100"/>
      </w:pPr>
      <w:r>
        <w:rPr>
          <w:i/>
          <w:color w:val="57534E"/>
          <w:sz w:val="22"/>
        </w:rPr>
        <w:t>Audited: April 11, 2026  ·  Auditor: Internal  ·  Status: Post-launch, all prior findings addressed</w:t>
      </w:r>
    </w:p>
    <w:p>
      <w:pPr>
        <w:spacing w:after="100"/>
      </w:pPr>
      <w:r>
        <w:rPr>
          <w:i/>
          <w:color w:val="57534E"/>
          <w:sz w:val="22"/>
        </w:rPr>
        <w:t>This is a clean-slate audit written with no reference to prior versions. All judgments reflect the site as it stands today.</w:t>
      </w:r>
    </w:p>
    <w:p>
      <w:pPr>
        <w:spacing w:before="480" w:after="120"/>
        <w:pBdr>
          <w:bottom w:val="single" w:sz="6" w:space="4" w:color="C9A44A"/>
        </w:pBdr>
      </w:pPr>
      <w:r>
        <w:rPr>
          <w:rFonts w:ascii="Georgia" w:hAnsi="Georgia"/>
          <w:b w:val="0"/>
          <w:color w:val="1C1917"/>
          <w:sz w:val="32"/>
        </w:rPr>
        <w:t>1. Executive Summary</w:t>
      </w:r>
    </w:p>
    <w:p>
      <w:pPr>
        <w:spacing w:after="100"/>
      </w:pPr>
      <w:r>
        <w:rPr>
          <w:i w:val="0"/>
          <w:color w:val="57534E"/>
          <w:sz w:val="22"/>
        </w:rPr>
        <w:t>doxaandco.co is a personal consulting website for Enam Egyir — a hybrid Senior Product Manager and developer targeting enterprise clients (GRC, banks, Series A–C SaaS), startups needing 0→1 product builds, and employers considering full-time hires. The site has strong bones: clear positioning, published pricing, real credentials, rich case study content, and a well-considered dual-purpose strategy.</w:t>
      </w:r>
    </w:p>
    <w:p>
      <w:pPr>
        <w:spacing w:after="100"/>
      </w:pPr>
      <w:r>
        <w:rPr>
          <w:i w:val="0"/>
          <w:color w:val="57534E"/>
          <w:sz w:val="22"/>
        </w:rPr>
        <w:t>After reviewing every section, the site earns strong marks on trust, clarity, and conversion architecture. The remaining gaps are primarily in social proof depth (only 2 testimonials without full names), content marketing (no thought leadership articles or LinkedIn link prominence outside footer), and one structural tension that hasn't been fully resolved: the dual job-seeking + consulting badge may undercut perceived commitment for enterprise clients who want an all-in consultant.</w:t>
      </w:r>
    </w:p>
    <w:p>
      <w:pPr>
        <w:spacing w:after="100"/>
      </w:pPr>
      <w:r>
        <w:rPr>
          <w:i w:val="0"/>
          <w:color w:val="57534E"/>
          <w:sz w:val="22"/>
        </w:rPr>
        <w:t>Overall Grade: B+ (Strong, with two medium-priority gaps worth addressing before the next major business push.)</w:t>
      </w:r>
    </w:p>
    <w:p>
      <w:pPr>
        <w:spacing w:before="480" w:after="120"/>
        <w:pBdr>
          <w:bottom w:val="single" w:sz="6" w:space="4" w:color="C9A44A"/>
        </w:pBdr>
      </w:pPr>
      <w:r>
        <w:rPr>
          <w:rFonts w:ascii="Georgia" w:hAnsi="Georgia"/>
          <w:b w:val="0"/>
          <w:color w:val="1C1917"/>
          <w:sz w:val="32"/>
        </w:rPr>
        <w:t>2. Scorecard</w:t>
      </w:r>
    </w:p>
    <w:p>
      <w:pPr>
        <w:spacing w:after="40"/>
      </w:pPr>
      <w:r>
        <w:rPr>
          <w:color w:val="57534E"/>
          <w:sz w:val="22"/>
        </w:rPr>
        <w:t xml:space="preserve">First Impression &amp; Clarity:  </w:t>
      </w:r>
      <w:r>
        <w:rPr>
          <w:b/>
          <w:color w:val="166534"/>
          <w:sz w:val="22"/>
        </w:rPr>
        <w:t>9/10</w:t>
      </w:r>
    </w:p>
    <w:p>
      <w:pPr>
        <w:spacing w:after="40"/>
      </w:pPr>
      <w:r>
        <w:rPr>
          <w:color w:val="57534E"/>
          <w:sz w:val="22"/>
        </w:rPr>
        <w:t xml:space="preserve">Positioning &amp; Differentiation:  </w:t>
      </w:r>
      <w:r>
        <w:rPr>
          <w:b/>
          <w:color w:val="166534"/>
          <w:sz w:val="22"/>
        </w:rPr>
        <w:t>9/10</w:t>
      </w:r>
    </w:p>
    <w:p>
      <w:pPr>
        <w:spacing w:after="40"/>
      </w:pPr>
      <w:r>
        <w:rPr>
          <w:color w:val="57534E"/>
          <w:sz w:val="22"/>
        </w:rPr>
        <w:t xml:space="preserve">Trust &amp; Social Proof:  </w:t>
      </w:r>
      <w:r>
        <w:rPr>
          <w:b/>
          <w:color w:val="166534"/>
          <w:sz w:val="22"/>
        </w:rPr>
        <w:t>7/10</w:t>
      </w:r>
    </w:p>
    <w:p>
      <w:pPr>
        <w:spacing w:after="40"/>
      </w:pPr>
      <w:r>
        <w:rPr>
          <w:color w:val="57534E"/>
          <w:sz w:val="22"/>
        </w:rPr>
        <w:t xml:space="preserve">Conversion Architecture:  </w:t>
      </w:r>
      <w:r>
        <w:rPr>
          <w:b/>
          <w:color w:val="166534"/>
          <w:sz w:val="22"/>
        </w:rPr>
        <w:t>8/10</w:t>
      </w:r>
    </w:p>
    <w:p>
      <w:pPr>
        <w:spacing w:after="40"/>
      </w:pPr>
      <w:r>
        <w:rPr>
          <w:color w:val="57534E"/>
          <w:sz w:val="22"/>
        </w:rPr>
        <w:t xml:space="preserve">Content Depth &amp; Thought Leadership:  </w:t>
      </w:r>
      <w:r>
        <w:rPr>
          <w:b/>
          <w:color w:val="DC2626"/>
          <w:sz w:val="22"/>
        </w:rPr>
        <w:t>4/10</w:t>
      </w:r>
    </w:p>
    <w:p>
      <w:pPr>
        <w:spacing w:after="40"/>
      </w:pPr>
      <w:r>
        <w:rPr>
          <w:color w:val="57534E"/>
          <w:sz w:val="22"/>
        </w:rPr>
        <w:t xml:space="preserve">Dual-Purpose Strategy (Consulting + FT):  </w:t>
      </w:r>
      <w:r>
        <w:rPr>
          <w:b/>
          <w:color w:val="166534"/>
          <w:sz w:val="22"/>
        </w:rPr>
        <w:t>7/10</w:t>
      </w:r>
    </w:p>
    <w:p>
      <w:pPr>
        <w:spacing w:after="40"/>
      </w:pPr>
      <w:r>
        <w:rPr>
          <w:color w:val="57534E"/>
          <w:sz w:val="22"/>
        </w:rPr>
        <w:t xml:space="preserve">Technical Quality (build, perf, SEO):  </w:t>
      </w:r>
      <w:r>
        <w:rPr>
          <w:b/>
          <w:color w:val="D97706"/>
          <w:sz w:val="22"/>
        </w:rPr>
        <w:t>6/10</w:t>
      </w:r>
    </w:p>
    <w:p>
      <w:pPr>
        <w:spacing w:after="40"/>
      </w:pPr>
      <w:r>
        <w:rPr>
          <w:color w:val="57534E"/>
          <w:sz w:val="22"/>
        </w:rPr>
        <w:t xml:space="preserve">Legal &amp; Professionalism:  </w:t>
      </w:r>
      <w:r>
        <w:rPr>
          <w:b/>
          <w:color w:val="166534"/>
          <w:sz w:val="22"/>
        </w:rPr>
        <w:t>9/10</w:t>
      </w:r>
    </w:p>
    <w:p/>
    <w:p>
      <w:pPr>
        <w:spacing w:after="100"/>
      </w:pPr>
      <w:r>
        <w:rPr>
          <w:i/>
          <w:color w:val="57534E"/>
          <w:sz w:val="22"/>
        </w:rPr>
        <w:t>Scoring: 9–10 = Excellent  ·  7–8 = Good  ·  5–6 = Needs attention  ·  1–4 = Gap</w:t>
      </w:r>
    </w:p>
    <w:p>
      <w:pPr>
        <w:spacing w:before="480" w:after="120"/>
        <w:pBdr>
          <w:bottom w:val="single" w:sz="6" w:space="4" w:color="C9A44A"/>
        </w:pBdr>
      </w:pPr>
      <w:r>
        <w:rPr>
          <w:rFonts w:ascii="Georgia" w:hAnsi="Georgia"/>
          <w:b w:val="0"/>
          <w:color w:val="1C1917"/>
          <w:sz w:val="32"/>
        </w:rPr>
        <w:t>3. What's Working Well</w:t>
      </w:r>
    </w:p>
    <w:p>
      <w:pPr>
        <w:spacing w:before="320" w:after="80"/>
        <w:pBdr>
          <w:bottom w:val="single" w:sz="4" w:space="4" w:color="E7E5E0"/>
        </w:pBdr>
      </w:pPr>
      <w:r>
        <w:rPr>
          <w:rFonts w:ascii="Georgia" w:hAnsi="Georgia"/>
          <w:b/>
          <w:color w:val="1C1917"/>
          <w:sz w:val="26"/>
        </w:rPr>
        <w:t>3.1  Positioning Headline</w:t>
      </w:r>
    </w:p>
    <w:p>
      <w:pPr>
        <w:spacing w:after="100"/>
      </w:pPr>
      <w:r>
        <w:rPr>
          <w:i w:val="0"/>
          <w:color w:val="57534E"/>
          <w:sz w:val="22"/>
        </w:rPr>
        <w:t>"Enterprise Rigor. Startup Velocity." is the best line on the site. It communicates the core differentiator in five words. The subheadline gives it grounding with real proof points (Fortune 500 banks, App Store). Strong.</w:t>
      </w:r>
    </w:p>
    <w:p>
      <w:pPr>
        <w:spacing w:before="320" w:after="80"/>
        <w:pBdr>
          <w:bottom w:val="single" w:sz="4" w:space="4" w:color="E7E5E0"/>
        </w:pBdr>
      </w:pPr>
      <w:r>
        <w:rPr>
          <w:rFonts w:ascii="Georgia" w:hAnsi="Georgia"/>
          <w:b/>
          <w:color w:val="1C1917"/>
          <w:sz w:val="26"/>
        </w:rPr>
        <w:t>3.2  Pricing Transparency</w:t>
      </w:r>
    </w:p>
    <w:p>
      <w:pPr>
        <w:spacing w:after="100"/>
      </w:pPr>
      <w:r>
        <w:rPr>
          <w:i w:val="0"/>
          <w:color w:val="57534E"/>
          <w:sz w:val="22"/>
        </w:rPr>
        <w:t>Services page shows real starting prices: $8k GRC, $15k+ MVP, $4,500/mo Fractional PO, $3,500 AI Audit. This is rare in consulting and builds significant pre-qualification trust. Serious clients appreciate it. Non-serious clients self-select out.</w:t>
      </w:r>
    </w:p>
    <w:p>
      <w:pPr>
        <w:spacing w:before="320" w:after="80"/>
        <w:pBdr>
          <w:bottom w:val="single" w:sz="4" w:space="4" w:color="E7E5E0"/>
        </w:pBdr>
      </w:pPr>
      <w:r>
        <w:rPr>
          <w:rFonts w:ascii="Georgia" w:hAnsi="Georgia"/>
          <w:b/>
          <w:color w:val="1C1917"/>
          <w:sz w:val="26"/>
        </w:rPr>
        <w:t>3.3  'Who I Work Best With' Section</w:t>
      </w:r>
    </w:p>
    <w:p>
      <w:pPr>
        <w:spacing w:after="100"/>
      </w:pPr>
      <w:r>
        <w:rPr>
          <w:i w:val="0"/>
          <w:color w:val="57534E"/>
          <w:sz w:val="22"/>
        </w:rPr>
        <w:t>The honest "Not the right fit" column is one of the best trust signals on the entire site. It reads as confident and selective, not desperate. Series A–C SaaS / Financial Institutions / GRC mandates — the ICP is precise and correct. Keep this section exactly as-is.</w:t>
      </w:r>
    </w:p>
    <w:p>
      <w:pPr>
        <w:spacing w:before="320" w:after="80"/>
        <w:pBdr>
          <w:bottom w:val="single" w:sz="4" w:space="4" w:color="E7E5E0"/>
        </w:pBdr>
      </w:pPr>
      <w:r>
        <w:rPr>
          <w:rFonts w:ascii="Georgia" w:hAnsi="Georgia"/>
          <w:b/>
          <w:color w:val="1C1917"/>
          <w:sz w:val="26"/>
        </w:rPr>
        <w:t>3.4  About Copy</w:t>
      </w:r>
    </w:p>
    <w:p>
      <w:pPr>
        <w:spacing w:after="100"/>
      </w:pPr>
      <w:r>
        <w:rPr>
          <w:i w:val="0"/>
          <w:color w:val="57534E"/>
          <w:sz w:val="22"/>
        </w:rPr>
        <w:t>"Most consultants only give advice. I build the solution." — This is the strongest single sentence on the site. It directly addresses the primary objection enterprise clients have about consultants. It should be amplified, not buried in the about section.</w:t>
      </w:r>
    </w:p>
    <w:p>
      <w:pPr>
        <w:spacing w:before="320" w:after="80"/>
        <w:pBdr>
          <w:bottom w:val="single" w:sz="4" w:space="4" w:color="E7E5E0"/>
        </w:pBdr>
      </w:pPr>
      <w:r>
        <w:rPr>
          <w:rFonts w:ascii="Georgia" w:hAnsi="Georgia"/>
          <w:b/>
          <w:color w:val="1C1917"/>
          <w:sz w:val="26"/>
        </w:rPr>
        <w:t>3.5  Testimonial Outcome Tags</w:t>
      </w:r>
    </w:p>
    <w:p>
      <w:pPr>
        <w:spacing w:after="100"/>
      </w:pPr>
      <w:r>
        <w:rPr>
          <w:i w:val="0"/>
          <w:color w:val="57534E"/>
          <w:sz w:val="22"/>
        </w:rPr>
        <w:t>Adding concrete outcome chips to testimonials (17% risk reduction, 30% efficiency gain, 4 tools → 1 platform, Real-time financial visibility) lifts them from vague praise to credible evidence. The structure is right; the gap is volume.</w:t>
      </w:r>
    </w:p>
    <w:p>
      <w:pPr>
        <w:spacing w:before="320" w:after="80"/>
        <w:pBdr>
          <w:bottom w:val="single" w:sz="4" w:space="4" w:color="E7E5E0"/>
        </w:pBdr>
      </w:pPr>
      <w:r>
        <w:rPr>
          <w:rFonts w:ascii="Georgia" w:hAnsi="Georgia"/>
          <w:b/>
          <w:color w:val="1C1917"/>
          <w:sz w:val="26"/>
        </w:rPr>
        <w:t>3.6  Case Studies</w:t>
      </w:r>
    </w:p>
    <w:p>
      <w:pPr>
        <w:spacing w:after="100"/>
      </w:pPr>
      <w:r>
        <w:rPr>
          <w:i w:val="0"/>
          <w:color w:val="57534E"/>
          <w:sz w:val="22"/>
        </w:rPr>
        <w:t>7 portfolio entries including Fortune 500 brands (Comerica, Huntington, JP Morgan, Target) and shipped products (HomeLinkGH on App Store, Beacon). The variety signals range. STAR-formatted case study pages with real outcome numbers.</w:t>
      </w:r>
    </w:p>
    <w:p>
      <w:pPr>
        <w:spacing w:before="320" w:after="80"/>
        <w:pBdr>
          <w:bottom w:val="single" w:sz="4" w:space="4" w:color="E7E5E0"/>
        </w:pBdr>
      </w:pPr>
      <w:r>
        <w:rPr>
          <w:rFonts w:ascii="Georgia" w:hAnsi="Georgia"/>
          <w:b/>
          <w:color w:val="1C1917"/>
          <w:sz w:val="26"/>
        </w:rPr>
        <w:t>3.7  Full Legal Coverage</w:t>
      </w:r>
    </w:p>
    <w:p>
      <w:pPr>
        <w:spacing w:after="100"/>
      </w:pPr>
      <w:r>
        <w:rPr>
          <w:i w:val="0"/>
          <w:color w:val="57534E"/>
          <w:sz w:val="22"/>
        </w:rPr>
        <w:t>Privacy Policy, Terms of Service, Session Fee Agreement, Retainer Agreement, Change Order form, Intake Form, SOW, Consulting Agreement — the full document set exists. This signals operational maturity to enterprise clients who will ask for it.</w:t>
      </w:r>
    </w:p>
    <w:p>
      <w:pPr>
        <w:spacing w:before="320" w:after="80"/>
        <w:pBdr>
          <w:bottom w:val="single" w:sz="4" w:space="4" w:color="E7E5E0"/>
        </w:pBdr>
      </w:pPr>
      <w:r>
        <w:rPr>
          <w:rFonts w:ascii="Georgia" w:hAnsi="Georgia"/>
          <w:b/>
          <w:color w:val="1C1917"/>
          <w:sz w:val="26"/>
        </w:rPr>
        <w:t>3.8  Credentials in Hero</w:t>
      </w:r>
    </w:p>
    <w:p>
      <w:pPr>
        <w:spacing w:after="100"/>
      </w:pPr>
      <w:r>
        <w:rPr>
          <w:i w:val="0"/>
          <w:color w:val="57534E"/>
          <w:sz w:val="22"/>
        </w:rPr>
        <w:t>PMP, CSM, MS Data Science in the hero section immediately establish legitimacy above the fold. These matter for enterprise and recruiter audiences.</w:t>
      </w:r>
    </w:p>
    <w:p>
      <w:pPr>
        <w:spacing w:before="480" w:after="120"/>
        <w:pBdr>
          <w:bottom w:val="single" w:sz="6" w:space="4" w:color="C9A44A"/>
        </w:pBdr>
      </w:pPr>
      <w:r>
        <w:rPr>
          <w:rFonts w:ascii="Georgia" w:hAnsi="Georgia"/>
          <w:b w:val="0"/>
          <w:color w:val="1C1917"/>
          <w:sz w:val="32"/>
        </w:rPr>
        <w:t>4. Findings &amp; Recommendations</w:t>
      </w:r>
    </w:p>
    <w:p>
      <w:pPr>
        <w:spacing w:before="280" w:after="80"/>
      </w:pPr>
      <w:r>
        <w:rPr>
          <w:b/>
          <w:color w:val="DC2626"/>
          <w:sz w:val="20"/>
        </w:rPr>
        <w:t xml:space="preserve">[HIGH]  </w:t>
      </w:r>
      <w:r>
        <w:rPr>
          <w:b/>
          <w:color w:val="1C1917"/>
          <w:sz w:val="24"/>
        </w:rPr>
        <w:t>Testimonials Lack Full Names</w:t>
      </w:r>
    </w:p>
    <w:p>
      <w:pPr>
        <w:spacing w:after="40"/>
        <w:ind w:left="216"/>
      </w:pPr>
      <w:r>
        <w:rPr>
          <w:b/>
          <w:color w:val="78716C"/>
          <w:sz w:val="20"/>
        </w:rPr>
        <w:t xml:space="preserve">Observation:  </w:t>
      </w:r>
      <w:r>
        <w:rPr>
          <w:color w:val="57534E"/>
          <w:sz w:val="20"/>
        </w:rPr>
        <w:t>Both testimonials use role titles only ('Senior Leadership', 'Risk Technology Director') with initials ('FK', 'CB'). Anonymous testimonials are significantly weaker than named ones — they read as plausible-but-unverifiable to skeptical enterprise prospects.</w:t>
      </w:r>
    </w:p>
    <w:p>
      <w:pPr>
        <w:spacing w:after="120"/>
        <w:ind w:left="216"/>
      </w:pPr>
      <w:r>
        <w:rPr>
          <w:b/>
          <w:color w:val="059669"/>
          <w:sz w:val="20"/>
        </w:rPr>
        <w:t xml:space="preserve">Recommendation:  </w:t>
      </w:r>
      <w:r>
        <w:rPr>
          <w:color w:val="57534E"/>
          <w:sz w:val="20"/>
        </w:rPr>
        <w:t>Obtain explicit written permission from each contact to use their name and title in the testimonial. Even 'David Chen, Risk Technology Director, Comerica Bank' dramatically increases credibility. If full names aren't possible, get a public LinkedIn URL link next to the testimonial. A named testimonial from a Fortune 500 is worth 10x an anonymous one.</w:t>
      </w:r>
    </w:p>
    <w:p>
      <w:pPr>
        <w:spacing w:before="280" w:after="80"/>
      </w:pPr>
      <w:r>
        <w:rPr>
          <w:b/>
          <w:color w:val="DC2626"/>
          <w:sz w:val="20"/>
        </w:rPr>
        <w:t xml:space="preserve">[HIGH]  </w:t>
      </w:r>
      <w:r>
        <w:rPr>
          <w:b/>
          <w:color w:val="1C1917"/>
          <w:sz w:val="24"/>
        </w:rPr>
        <w:t>Zero Thought Leadership / Content</w:t>
      </w:r>
    </w:p>
    <w:p>
      <w:pPr>
        <w:spacing w:after="40"/>
        <w:ind w:left="216"/>
      </w:pPr>
      <w:r>
        <w:rPr>
          <w:b/>
          <w:color w:val="78716C"/>
          <w:sz w:val="20"/>
        </w:rPr>
        <w:t xml:space="preserve">Observation:  </w:t>
      </w:r>
      <w:r>
        <w:rPr>
          <w:color w:val="57534E"/>
          <w:sz w:val="20"/>
        </w:rPr>
        <w:t>No blog posts, no articles, no published opinions on GRC, AI transformation, or product management. The site describes what Enam does but shows no evidence of how she thinks. Enterprise clients at the $8k–$20k+ engagement level want to see a distinct point of view before they book.</w:t>
      </w:r>
    </w:p>
    <w:p>
      <w:pPr>
        <w:spacing w:after="120"/>
        <w:ind w:left="216"/>
      </w:pPr>
      <w:r>
        <w:rPr>
          <w:b/>
          <w:color w:val="059669"/>
          <w:sz w:val="20"/>
        </w:rPr>
        <w:t xml:space="preserve">Recommendation:  </w:t>
      </w:r>
      <w:r>
        <w:rPr>
          <w:color w:val="57534E"/>
          <w:sz w:val="20"/>
        </w:rPr>
        <w:t>Publish 3–5 short-form pieces (500–800 words each) under a /insights or /writing path. Topics that would resonate with the ICP: 'Why most GRC platform migrations fail in sprint 4', 'The hidden cost of hiring a PM who can't code', 'What AI readiness actually means for a regulated bank'. These don't need to be exhaustive — they just need to demonstrate thinking. Even a LinkedIn article link in the nav (not just footer icon) would help.</w:t>
      </w:r>
    </w:p>
    <w:p>
      <w:pPr>
        <w:spacing w:before="280" w:after="80"/>
      </w:pPr>
      <w:r>
        <w:rPr>
          <w:b/>
          <w:color w:val="D97706"/>
          <w:sz w:val="20"/>
        </w:rPr>
        <w:t xml:space="preserve">[MEDIUM]  </w:t>
      </w:r>
      <w:r>
        <w:rPr>
          <w:b/>
          <w:color w:val="1C1917"/>
          <w:sz w:val="24"/>
        </w:rPr>
        <w:t>The Dual Badge Creates Subtle Credibility Friction</w:t>
      </w:r>
    </w:p>
    <w:p>
      <w:pPr>
        <w:spacing w:after="40"/>
        <w:ind w:left="216"/>
      </w:pPr>
      <w:r>
        <w:rPr>
          <w:b/>
          <w:color w:val="78716C"/>
          <w:sz w:val="20"/>
        </w:rPr>
        <w:t xml:space="preserve">Observation:  </w:t>
      </w:r>
      <w:r>
        <w:rPr>
          <w:color w:val="57534E"/>
          <w:sz w:val="20"/>
        </w:rPr>
        <w:t>'Available for Full-Time Roles &amp; Consulting Engagements' as the first thing a consulting client reads creates a subtext: 'she might leave if a full-time job comes along.' Enterprise clients paying $8k+ want assurance that you're committed to their project — not interviewing in parallel. This is a real tension.</w:t>
      </w:r>
    </w:p>
    <w:p>
      <w:pPr>
        <w:spacing w:after="120"/>
        <w:ind w:left="216"/>
      </w:pPr>
      <w:r>
        <w:rPr>
          <w:b/>
          <w:color w:val="059669"/>
          <w:sz w:val="20"/>
        </w:rPr>
        <w:t xml:space="preserve">Recommendation:  </w:t>
      </w:r>
      <w:r>
        <w:rPr>
          <w:color w:val="57534E"/>
          <w:sz w:val="20"/>
        </w:rPr>
        <w:t>Three options, in order of boldness: (1) Move the badge below the fold entirely and let the /hire page carry the employment signal. (2) Reword to 'Open to select full-time roles — see /hire' in very small text. (3) Accept the tradeoff and leave it — but be aware it will cost some enterprise consulting leads. Option 1 or 2 is recommended if consulting revenue is the primary goal.</w:t>
      </w:r>
    </w:p>
    <w:p>
      <w:pPr>
        <w:spacing w:before="280" w:after="80"/>
      </w:pPr>
      <w:r>
        <w:rPr>
          <w:b/>
          <w:color w:val="D97706"/>
          <w:sz w:val="20"/>
        </w:rPr>
        <w:t xml:space="preserve">[MEDIUM]  </w:t>
      </w:r>
      <w:r>
        <w:rPr>
          <w:b/>
          <w:color w:val="1C1917"/>
          <w:sz w:val="24"/>
        </w:rPr>
        <w:t>Primary CTA Is Vague for Some Visitors</w:t>
      </w:r>
    </w:p>
    <w:p>
      <w:pPr>
        <w:spacing w:after="40"/>
        <w:ind w:left="216"/>
      </w:pPr>
      <w:r>
        <w:rPr>
          <w:b/>
          <w:color w:val="78716C"/>
          <w:sz w:val="20"/>
        </w:rPr>
        <w:t xml:space="preserve">Observation:  </w:t>
      </w:r>
      <w:r>
        <w:rPr>
          <w:color w:val="57534E"/>
          <w:sz w:val="20"/>
        </w:rPr>
        <w:t>'Book a Strategy Call' is the primary hero CTA. For a fractional PO or GRC client, that's clear. For a startup founder who needs a full build, it's less obvious. For a recruiter who landed on this page, it's irrelevant.</w:t>
      </w:r>
    </w:p>
    <w:p>
      <w:pPr>
        <w:spacing w:after="120"/>
        <w:ind w:left="216"/>
      </w:pPr>
      <w:r>
        <w:rPr>
          <w:b/>
          <w:color w:val="059669"/>
          <w:sz w:val="20"/>
        </w:rPr>
        <w:t xml:space="preserve">Recommendation:  </w:t>
      </w:r>
      <w:r>
        <w:rPr>
          <w:color w:val="57534E"/>
          <w:sz w:val="20"/>
        </w:rPr>
        <w:t>Consider adding a secondary navigation prompt above the CTA buttons: 'Looking to build a product? → See MVP Development  |  GRC transformation? → See Enterprise GRC  |  Hiring? → For Employers'. A simple text-based wayfinder reduces friction for visitors who self-identify but don't know which CTA is for them.</w:t>
      </w:r>
    </w:p>
    <w:p>
      <w:pPr>
        <w:spacing w:before="280" w:after="80"/>
      </w:pPr>
      <w:r>
        <w:rPr>
          <w:b/>
          <w:color w:val="D97706"/>
          <w:sz w:val="20"/>
        </w:rPr>
        <w:t xml:space="preserve">[MEDIUM]  </w:t>
      </w:r>
      <w:r>
        <w:rPr>
          <w:b/>
          <w:color w:val="1C1917"/>
          <w:sz w:val="24"/>
        </w:rPr>
        <w:t>Content Marketing / LinkedIn Not Prominent Enough</w:t>
      </w:r>
    </w:p>
    <w:p>
      <w:pPr>
        <w:spacing w:after="40"/>
        <w:ind w:left="216"/>
      </w:pPr>
      <w:r>
        <w:rPr>
          <w:b/>
          <w:color w:val="78716C"/>
          <w:sz w:val="20"/>
        </w:rPr>
        <w:t xml:space="preserve">Observation:  </w:t>
      </w:r>
      <w:r>
        <w:rPr>
          <w:color w:val="57534E"/>
          <w:sz w:val="20"/>
        </w:rPr>
        <w:t>LinkedIn is present in the footer (icon only) and in the About section (text link). But for a consultant whose primary inbound should come from professional networks, LinkedIn should be a more prominent trust signal — not a footer afterthought.</w:t>
      </w:r>
    </w:p>
    <w:p>
      <w:pPr>
        <w:spacing w:after="120"/>
        <w:ind w:left="216"/>
      </w:pPr>
      <w:r>
        <w:rPr>
          <w:b/>
          <w:color w:val="059669"/>
          <w:sz w:val="20"/>
        </w:rPr>
        <w:t xml:space="preserve">Recommendation:  </w:t>
      </w:r>
      <w:r>
        <w:rPr>
          <w:color w:val="57534E"/>
          <w:sz w:val="20"/>
        </w:rPr>
        <w:t>Add a LinkedIn follower count or endorsement count near the LinkedIn link if it's substantial. Place the LinkedIn CTA closer to the testimonials or after the WhoIWorkWith section. Consider 'See 47 recommendations on LinkedIn →' if endorsements exist. Social proof compounds.</w:t>
      </w:r>
    </w:p>
    <w:p>
      <w:pPr>
        <w:spacing w:before="280" w:after="80"/>
      </w:pPr>
      <w:r>
        <w:rPr>
          <w:b/>
          <w:color w:val="D97706"/>
          <w:sz w:val="20"/>
        </w:rPr>
        <w:t xml:space="preserve">[MEDIUM]  </w:t>
      </w:r>
      <w:r>
        <w:rPr>
          <w:b/>
          <w:color w:val="1C1917"/>
          <w:sz w:val="24"/>
        </w:rPr>
        <w:t>Portfolio Cards Don't Surface Impact Numbers</w:t>
      </w:r>
    </w:p>
    <w:p>
      <w:pPr>
        <w:spacing w:after="40"/>
        <w:ind w:left="216"/>
      </w:pPr>
      <w:r>
        <w:rPr>
          <w:b/>
          <w:color w:val="78716C"/>
          <w:sz w:val="20"/>
        </w:rPr>
        <w:t xml:space="preserve">Observation:  </w:t>
      </w:r>
      <w:r>
        <w:rPr>
          <w:color w:val="57534E"/>
          <w:sz w:val="20"/>
        </w:rPr>
        <w:t>The 4 portfolio preview cards include 1-line descriptions but don't lead with the outcome metric. A client scanning quickly sees 'Comerica Bank GRC Transformation' but has to read the full sentence to get to '17% risk reduction'. The number should be the headline.</w:t>
      </w:r>
    </w:p>
    <w:p>
      <w:pPr>
        <w:spacing w:after="120"/>
        <w:ind w:left="216"/>
      </w:pPr>
      <w:r>
        <w:rPr>
          <w:b/>
          <w:color w:val="059669"/>
          <w:sz w:val="20"/>
        </w:rPr>
        <w:t xml:space="preserve">Recommendation:  </w:t>
      </w:r>
      <w:r>
        <w:rPr>
          <w:color w:val="57534E"/>
          <w:sz w:val="20"/>
        </w:rPr>
        <w:t>Restructure the card description to lead with the impact: '17% risk reduction · 30% efficiency gain — Product Owner for Comerica's enterprise GRC platform transformation.' or add a small metric chip on each card (similar to the testimonial tags). Outcomes first, context second.</w:t>
      </w:r>
    </w:p>
    <w:p>
      <w:pPr>
        <w:spacing w:before="280" w:after="80"/>
      </w:pPr>
      <w:r>
        <w:rPr>
          <w:b/>
          <w:color w:val="1D40AF"/>
          <w:sz w:val="20"/>
        </w:rPr>
        <w:t xml:space="preserve">[LOW]  </w:t>
      </w:r>
      <w:r>
        <w:rPr>
          <w:b/>
          <w:color w:val="1C1917"/>
          <w:sz w:val="24"/>
        </w:rPr>
        <w:t>Bundle Size Is Large (1.9MB JS)</w:t>
      </w:r>
    </w:p>
    <w:p>
      <w:pPr>
        <w:spacing w:after="40"/>
        <w:ind w:left="216"/>
      </w:pPr>
      <w:r>
        <w:rPr>
          <w:b/>
          <w:color w:val="78716C"/>
          <w:sz w:val="20"/>
        </w:rPr>
        <w:t xml:space="preserve">Observation:  </w:t>
      </w:r>
      <w:r>
        <w:rPr>
          <w:color w:val="57534E"/>
          <w:sz w:val="20"/>
        </w:rPr>
        <w:t>The production bundle is ~1.9MB of JavaScript. On mobile connections this can cause a 3–8 second load before the page is interactive. This affects both UX and SEO (Google's Core Web Vitals penalize slow mobile loads).</w:t>
      </w:r>
    </w:p>
    <w:p>
      <w:pPr>
        <w:spacing w:after="120"/>
        <w:ind w:left="216"/>
      </w:pPr>
      <w:r>
        <w:rPr>
          <w:b/>
          <w:color w:val="059669"/>
          <w:sz w:val="20"/>
        </w:rPr>
        <w:t xml:space="preserve">Recommendation:  </w:t>
      </w:r>
      <w:r>
        <w:rPr>
          <w:color w:val="57534E"/>
          <w:sz w:val="20"/>
        </w:rPr>
        <w:t>Implement code-splitting using React.lazy() and dynamic import() for heavy routes (/hire, /tools, legal pages, case study pages). The main landing page bundle should be under 300KB. This is a technical debt item — not urgent but worth a sprint once the content is stable.</w:t>
      </w:r>
    </w:p>
    <w:p>
      <w:pPr>
        <w:spacing w:before="280" w:after="80"/>
      </w:pPr>
      <w:r>
        <w:rPr>
          <w:b/>
          <w:color w:val="1D40AF"/>
          <w:sz w:val="20"/>
        </w:rPr>
        <w:t xml:space="preserve">[LOW]  </w:t>
      </w:r>
      <w:r>
        <w:rPr>
          <w:b/>
          <w:color w:val="1C1917"/>
          <w:sz w:val="24"/>
        </w:rPr>
        <w:t>No SEO Meta Tags or OG Images</w:t>
      </w:r>
    </w:p>
    <w:p>
      <w:pPr>
        <w:spacing w:after="40"/>
        <w:ind w:left="216"/>
      </w:pPr>
      <w:r>
        <w:rPr>
          <w:b/>
          <w:color w:val="78716C"/>
          <w:sz w:val="20"/>
        </w:rPr>
        <w:t xml:space="preserve">Observation:  </w:t>
      </w:r>
      <w:r>
        <w:rPr>
          <w:color w:val="57534E"/>
          <w:sz w:val="20"/>
        </w:rPr>
        <w:t>The site uses a single index.html with no page-specific meta descriptions, Open Graph tags, or Twitter Card tags. When shared on LinkedIn (where most referrals will come from), the link preview will show a blank or generic image.</w:t>
      </w:r>
    </w:p>
    <w:p>
      <w:pPr>
        <w:spacing w:after="120"/>
        <w:ind w:left="216"/>
      </w:pPr>
      <w:r>
        <w:rPr>
          <w:b/>
          <w:color w:val="059669"/>
          <w:sz w:val="20"/>
        </w:rPr>
        <w:t xml:space="preserve">Recommendation:  </w:t>
      </w:r>
      <w:r>
        <w:rPr>
          <w:color w:val="57534E"/>
          <w:sz w:val="20"/>
        </w:rPr>
        <w:t>Add react-helmet or Vite's html plugin to inject: meta description ('Senior Product Manager and developer specializing in GRC transformation and 0→1 product builds...'), OG title/description/image for each major route. Use the headshot or a branded card as the OG image. High-value, low-effort.</w:t>
      </w:r>
    </w:p>
    <w:p>
      <w:pPr>
        <w:spacing w:before="280" w:after="80"/>
      </w:pPr>
      <w:r>
        <w:rPr>
          <w:b/>
          <w:color w:val="1D40AF"/>
          <w:sz w:val="20"/>
        </w:rPr>
        <w:t xml:space="preserve">[LOW]  </w:t>
      </w:r>
      <w:r>
        <w:rPr>
          <w:b/>
          <w:color w:val="1C1917"/>
          <w:sz w:val="24"/>
        </w:rPr>
        <w:t>Booking Page Not Audited (Blind Spot)</w:t>
      </w:r>
    </w:p>
    <w:p>
      <w:pPr>
        <w:spacing w:after="40"/>
        <w:ind w:left="216"/>
      </w:pPr>
      <w:r>
        <w:rPr>
          <w:b/>
          <w:color w:val="78716C"/>
          <w:sz w:val="20"/>
        </w:rPr>
        <w:t xml:space="preserve">Observation:  </w:t>
      </w:r>
      <w:r>
        <w:rPr>
          <w:color w:val="57534E"/>
          <w:sz w:val="20"/>
        </w:rPr>
        <w:t>Every CTA on the site leads to /booking — but the booking page itself was not included in this audit scope. The site's conversion rate ultimately depends on what happens after the visitor clicks 'Book a Strategy Call'.</w:t>
      </w:r>
    </w:p>
    <w:p>
      <w:pPr>
        <w:spacing w:after="120"/>
        <w:ind w:left="216"/>
      </w:pPr>
      <w:r>
        <w:rPr>
          <w:b/>
          <w:color w:val="059669"/>
          <w:sz w:val="20"/>
        </w:rPr>
        <w:t xml:space="preserve">Recommendation:  </w:t>
      </w:r>
      <w:r>
        <w:rPr>
          <w:color w:val="57534E"/>
          <w:sz w:val="20"/>
        </w:rPr>
        <w:t>Conduct a separate audit of the /booking page: Is the session fee policy clearly communicated before the form? Are service types selectable? Is there a confirmation and calendar integration? A strong landing page with a weak booking page loses the lead at the last step.</w:t>
      </w:r>
    </w:p>
    <w:p>
      <w:pPr>
        <w:spacing w:before="480" w:after="120"/>
        <w:pBdr>
          <w:bottom w:val="single" w:sz="6" w:space="4" w:color="C9A44A"/>
        </w:pBdr>
      </w:pPr>
      <w:r>
        <w:rPr>
          <w:rFonts w:ascii="Georgia" w:hAnsi="Georgia"/>
          <w:b w:val="0"/>
          <w:color w:val="1C1917"/>
          <w:sz w:val="32"/>
        </w:rPr>
        <w:t>5. Previously Identified — Now Resolved</w:t>
      </w:r>
    </w:p>
    <w:p>
      <w:pPr>
        <w:spacing w:after="100"/>
      </w:pPr>
      <w:r>
        <w:rPr>
          <w:i w:val="0"/>
          <w:color w:val="57534E"/>
          <w:sz w:val="22"/>
        </w:rPr>
        <w:t>The following findings from Revision 1 and 2 are confirmed addressed in the current build:</w:t>
      </w:r>
    </w:p>
    <w:p/>
    <w:p>
      <w:pPr>
        <w:spacing w:before="120" w:after="40"/>
      </w:pPr>
      <w:r>
        <w:rPr>
          <w:b/>
          <w:color w:val="166534"/>
          <w:sz w:val="20"/>
        </w:rPr>
        <w:t xml:space="preserve">[RESOLVED]  </w:t>
      </w:r>
      <w:r>
        <w:rPr>
          <w:b w:val="0"/>
          <w:strike/>
          <w:color w:val="78716C"/>
          <w:sz w:val="22"/>
        </w:rPr>
        <w:t>Missing ICP statement / Who I work with</w:t>
      </w:r>
    </w:p>
    <w:p>
      <w:pPr>
        <w:spacing w:after="80"/>
        <w:ind w:left="216"/>
      </w:pPr>
      <w:r>
        <w:rPr>
          <w:i/>
          <w:color w:val="A8A29E"/>
          <w:sz w:val="18"/>
        </w:rPr>
        <w:t>WhoIWorkWith section added with 'Great fit' and 'Not the right fit' columns.</w:t>
      </w:r>
    </w:p>
    <w:p>
      <w:pPr>
        <w:spacing w:before="120" w:after="40"/>
      </w:pPr>
      <w:r>
        <w:rPr>
          <w:b/>
          <w:color w:val="166534"/>
          <w:sz w:val="20"/>
        </w:rPr>
        <w:t xml:space="preserve">[RESOLVED]  </w:t>
      </w:r>
      <w:r>
        <w:rPr>
          <w:b w:val="0"/>
          <w:strike/>
          <w:color w:val="78716C"/>
          <w:sz w:val="22"/>
        </w:rPr>
        <w:t>Terms of Service and Privacy Policy missing</w:t>
      </w:r>
    </w:p>
    <w:p>
      <w:pPr>
        <w:spacing w:after="80"/>
        <w:ind w:left="216"/>
      </w:pPr>
      <w:r>
        <w:rPr>
          <w:i/>
          <w:color w:val="A8A29E"/>
          <w:sz w:val="18"/>
        </w:rPr>
        <w:t>Full pages at /privacy and /terms, linked in footer.</w:t>
      </w:r>
    </w:p>
    <w:p>
      <w:pPr>
        <w:spacing w:before="120" w:after="40"/>
      </w:pPr>
      <w:r>
        <w:rPr>
          <w:b/>
          <w:color w:val="166534"/>
          <w:sz w:val="20"/>
        </w:rPr>
        <w:t xml:space="preserve">[RESOLVED]  </w:t>
      </w:r>
      <w:r>
        <w:rPr>
          <w:b w:val="0"/>
          <w:strike/>
          <w:color w:val="78716C"/>
          <w:sz w:val="22"/>
        </w:rPr>
        <w:t>Payment terms not transparent</w:t>
      </w:r>
    </w:p>
    <w:p>
      <w:pPr>
        <w:spacing w:after="80"/>
        <w:ind w:left="216"/>
      </w:pPr>
      <w:r>
        <w:rPr>
          <w:i/>
          <w:color w:val="A8A29E"/>
          <w:sz w:val="18"/>
        </w:rPr>
        <w:t>FAQ entry added covering session fees, milestone billing, 7-day invoice terms, and 1.5%/mo late fees.</w:t>
      </w:r>
    </w:p>
    <w:p>
      <w:pPr>
        <w:spacing w:before="120" w:after="40"/>
      </w:pPr>
      <w:r>
        <w:rPr>
          <w:b/>
          <w:color w:val="166534"/>
          <w:sz w:val="20"/>
        </w:rPr>
        <w:t xml:space="preserve">[RESOLVED]  </w:t>
      </w:r>
      <w:r>
        <w:rPr>
          <w:b w:val="0"/>
          <w:strike/>
          <w:color w:val="78716C"/>
          <w:sz w:val="22"/>
        </w:rPr>
        <w:t>LinkedIn link hard to find</w:t>
      </w:r>
    </w:p>
    <w:p>
      <w:pPr>
        <w:spacing w:after="80"/>
        <w:ind w:left="216"/>
      </w:pPr>
      <w:r>
        <w:rPr>
          <w:i/>
          <w:color w:val="A8A29E"/>
          <w:sz w:val="18"/>
        </w:rPr>
        <w:t>Text link added in About section (above stats grid) in LinkedIn blue.</w:t>
      </w:r>
    </w:p>
    <w:p>
      <w:pPr>
        <w:spacing w:before="120" w:after="40"/>
      </w:pPr>
      <w:r>
        <w:rPr>
          <w:b/>
          <w:color w:val="166534"/>
          <w:sz w:val="20"/>
        </w:rPr>
        <w:t xml:space="preserve">[RESOLVED]  </w:t>
      </w:r>
      <w:r>
        <w:rPr>
          <w:b w:val="0"/>
          <w:strike/>
          <w:color w:val="78716C"/>
          <w:sz w:val="22"/>
        </w:rPr>
        <w:t>Services section lacked credibility positioning</w:t>
      </w:r>
    </w:p>
    <w:p>
      <w:pPr>
        <w:spacing w:after="80"/>
        <w:ind w:left="216"/>
      </w:pPr>
      <w:r>
        <w:rPr>
          <w:i/>
          <w:color w:val="A8A29E"/>
          <w:sz w:val="18"/>
        </w:rPr>
        <w:t>Subtitle updated to 'Built on 10+ years of Fortune 500 delivery...'</w:t>
      </w:r>
    </w:p>
    <w:p>
      <w:pPr>
        <w:spacing w:before="120" w:after="40"/>
      </w:pPr>
      <w:r>
        <w:rPr>
          <w:b/>
          <w:color w:val="166534"/>
          <w:sz w:val="20"/>
        </w:rPr>
        <w:t xml:space="preserve">[RESOLVED]  </w:t>
      </w:r>
      <w:r>
        <w:rPr>
          <w:b w:val="0"/>
          <w:strike/>
          <w:color w:val="78716C"/>
          <w:sz w:val="22"/>
        </w:rPr>
        <w:t>Headshot missing from site</w:t>
      </w:r>
    </w:p>
    <w:p>
      <w:pPr>
        <w:spacing w:after="80"/>
        <w:ind w:left="216"/>
      </w:pPr>
      <w:r>
        <w:rPr>
          <w:i/>
          <w:color w:val="A8A29E"/>
          <w:sz w:val="18"/>
        </w:rPr>
        <w:t>Circular headshot added to hero above dashboard card with name/title pill.</w:t>
      </w:r>
    </w:p>
    <w:p>
      <w:pPr>
        <w:spacing w:before="120" w:after="40"/>
      </w:pPr>
      <w:r>
        <w:rPr>
          <w:b/>
          <w:color w:val="166534"/>
          <w:sz w:val="20"/>
        </w:rPr>
        <w:t xml:space="preserve">[RESOLVED]  </w:t>
      </w:r>
      <w:r>
        <w:rPr>
          <w:b w:val="0"/>
          <w:strike/>
          <w:color w:val="78716C"/>
          <w:sz w:val="22"/>
        </w:rPr>
        <w:t>No employer-facing path</w:t>
      </w:r>
    </w:p>
    <w:p>
      <w:pPr>
        <w:spacing w:after="80"/>
        <w:ind w:left="216"/>
      </w:pPr>
      <w:r>
        <w:rPr>
          <w:i/>
          <w:color w:val="A8A29E"/>
          <w:sz w:val="18"/>
        </w:rPr>
        <w:t>/hire page added, 'For Employers' in nav, dashed-border CTA in hero buttons.</w:t>
      </w:r>
    </w:p>
    <w:p>
      <w:pPr>
        <w:spacing w:before="120" w:after="40"/>
      </w:pPr>
      <w:r>
        <w:rPr>
          <w:b/>
          <w:color w:val="166534"/>
          <w:sz w:val="20"/>
        </w:rPr>
        <w:t xml:space="preserve">[RESOLVED]  </w:t>
      </w:r>
      <w:r>
        <w:rPr>
          <w:b w:val="0"/>
          <w:strike/>
          <w:color w:val="78716C"/>
          <w:sz w:val="22"/>
        </w:rPr>
        <w:t>Signature Generator publicly accessible</w:t>
      </w:r>
    </w:p>
    <w:p>
      <w:pPr>
        <w:spacing w:after="80"/>
        <w:ind w:left="216"/>
      </w:pPr>
      <w:r>
        <w:rPr>
          <w:i/>
          <w:color w:val="A8A29E"/>
          <w:sz w:val="18"/>
        </w:rPr>
        <w:t>Moved to private /tools route — not linked from any public page.</w:t>
      </w:r>
    </w:p>
    <w:p>
      <w:pPr>
        <w:spacing w:before="120" w:after="40"/>
      </w:pPr>
      <w:r>
        <w:rPr>
          <w:b/>
          <w:color w:val="166534"/>
          <w:sz w:val="20"/>
        </w:rPr>
        <w:t xml:space="preserve">[RESOLVED]  </w:t>
      </w:r>
      <w:r>
        <w:rPr>
          <w:b w:val="0"/>
          <w:strike/>
          <w:color w:val="78716C"/>
          <w:sz w:val="22"/>
        </w:rPr>
        <w:t>Testimonials lacked proof points</w:t>
      </w:r>
    </w:p>
    <w:p>
      <w:pPr>
        <w:spacing w:after="80"/>
        <w:ind w:left="216"/>
      </w:pPr>
      <w:r>
        <w:rPr>
          <w:i/>
          <w:color w:val="A8A29E"/>
          <w:sz w:val="18"/>
        </w:rPr>
        <w:t>Outcome tags added (17% risk reduction, 30% efficiency gain, 4 tools→1 platform, Real-time financial visibility, Live streaming).</w:t>
      </w:r>
    </w:p>
    <w:p>
      <w:pPr>
        <w:spacing w:before="120" w:after="40"/>
      </w:pPr>
      <w:r>
        <w:rPr>
          <w:b/>
          <w:color w:val="166534"/>
          <w:sz w:val="20"/>
        </w:rPr>
        <w:t xml:space="preserve">[RESOLVED]  </w:t>
      </w:r>
      <w:r>
        <w:rPr>
          <w:b w:val="0"/>
          <w:strike/>
          <w:color w:val="78716C"/>
          <w:sz w:val="22"/>
        </w:rPr>
        <w:t>Footer links for Privacy/Terms broken</w:t>
      </w:r>
    </w:p>
    <w:p>
      <w:pPr>
        <w:spacing w:after="80"/>
        <w:ind w:left="216"/>
      </w:pPr>
      <w:r>
        <w:rPr>
          <w:i/>
          <w:color w:val="A8A29E"/>
          <w:sz w:val="18"/>
        </w:rPr>
        <w:t>Footer now links to /privacy and /terms routes correctly.</w:t>
      </w:r>
    </w:p>
    <w:p>
      <w:pPr>
        <w:spacing w:before="120" w:after="40"/>
      </w:pPr>
      <w:r>
        <w:rPr>
          <w:b/>
          <w:color w:val="166534"/>
          <w:sz w:val="20"/>
        </w:rPr>
        <w:t xml:space="preserve">[RESOLVED]  </w:t>
      </w:r>
      <w:r>
        <w:rPr>
          <w:b w:val="0"/>
          <w:strike/>
          <w:color w:val="78716C"/>
          <w:sz w:val="22"/>
        </w:rPr>
        <w:t>Session fee policy not documented</w:t>
      </w:r>
    </w:p>
    <w:p>
      <w:pPr>
        <w:spacing w:after="80"/>
        <w:ind w:left="216"/>
      </w:pPr>
      <w:r>
        <w:rPr>
          <w:i/>
          <w:color w:val="A8A29E"/>
          <w:sz w:val="18"/>
        </w:rPr>
        <w:t>Session Fee Agreement document created; FAQ entry covers fee schedule clearly.</w:t>
      </w:r>
    </w:p>
    <w:p>
      <w:pPr>
        <w:spacing w:before="120" w:after="40"/>
      </w:pPr>
      <w:r>
        <w:rPr>
          <w:b/>
          <w:color w:val="166534"/>
          <w:sz w:val="20"/>
        </w:rPr>
        <w:t xml:space="preserve">[RESOLVED]  </w:t>
      </w:r>
      <w:r>
        <w:rPr>
          <w:b w:val="0"/>
          <w:strike/>
          <w:color w:val="78716C"/>
          <w:sz w:val="22"/>
        </w:rPr>
        <w:t>No document set for consulting engagements</w:t>
      </w:r>
    </w:p>
    <w:p>
      <w:pPr>
        <w:spacing w:after="80"/>
        <w:ind w:left="216"/>
      </w:pPr>
      <w:r>
        <w:rPr>
          <w:i/>
          <w:color w:val="A8A29E"/>
          <w:sz w:val="18"/>
        </w:rPr>
        <w:t>13 documents now complete: letterhead, services/pricing, consulting agreement, discovery brief, project proposal, SOW, invoice, session fee, retainer, change order, intake form, onboarding/kickoff, closeout report.</w:t>
      </w:r>
    </w:p>
    <w:p>
      <w:pPr>
        <w:spacing w:before="480" w:after="120"/>
        <w:pBdr>
          <w:bottom w:val="single" w:sz="6" w:space="4" w:color="C9A44A"/>
        </w:pBdr>
      </w:pPr>
      <w:r>
        <w:rPr>
          <w:rFonts w:ascii="Georgia" w:hAnsi="Georgia"/>
          <w:b w:val="0"/>
          <w:color w:val="1C1917"/>
          <w:sz w:val="32"/>
        </w:rPr>
        <w:t>6. Priority Action Matrix</w:t>
      </w:r>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F5F5F4"/>
          </w:tcPr>
          <w:p>
            <w:r>
              <w:rPr>
                <w:b/>
                <w:color w:val="1C1917"/>
                <w:sz w:val="18"/>
              </w:rPr>
              <w:t>Priority</w:t>
            </w:r>
          </w:p>
        </w:tc>
        <w:tc>
          <w:tcPr>
            <w:tcW w:type="dxa" w:w="2232"/>
            <w:shd w:val="clear" w:color="auto" w:fill="F5F5F4"/>
          </w:tcPr>
          <w:p>
            <w:r>
              <w:rPr>
                <w:b/>
                <w:color w:val="1C1917"/>
                <w:sz w:val="18"/>
              </w:rPr>
              <w:t>Finding</w:t>
            </w:r>
          </w:p>
        </w:tc>
        <w:tc>
          <w:tcPr>
            <w:tcW w:type="dxa" w:w="2232"/>
            <w:shd w:val="clear" w:color="auto" w:fill="F5F5F4"/>
          </w:tcPr>
          <w:p>
            <w:r>
              <w:rPr>
                <w:b/>
                <w:color w:val="1C1917"/>
                <w:sz w:val="18"/>
              </w:rPr>
              <w:t>Effort</w:t>
            </w:r>
          </w:p>
        </w:tc>
        <w:tc>
          <w:tcPr>
            <w:tcW w:type="dxa" w:w="2232"/>
            <w:shd w:val="clear" w:color="auto" w:fill="F5F5F4"/>
          </w:tcPr>
          <w:p>
            <w:r>
              <w:rPr>
                <w:b/>
                <w:color w:val="1C1917"/>
                <w:sz w:val="18"/>
              </w:rPr>
              <w:t>When</w:t>
            </w:r>
          </w:p>
        </w:tc>
      </w:tr>
      <w:tr>
        <w:tc>
          <w:tcPr>
            <w:tcW w:type="dxa" w:w="2232"/>
            <w:shd w:val="clear" w:color="auto" w:fill="FEF2F2"/>
          </w:tcPr>
          <w:p>
            <w:r>
              <w:rPr>
                <w:b/>
                <w:color w:val="DC2626"/>
                <w:sz w:val="20"/>
              </w:rPr>
              <w:t>HIGH</w:t>
            </w:r>
          </w:p>
        </w:tc>
        <w:tc>
          <w:tcPr>
            <w:tcW w:type="dxa" w:w="2232"/>
          </w:tcPr>
          <w:p>
            <w:r>
              <w:rPr>
                <w:color w:val="57534E"/>
                <w:sz w:val="20"/>
              </w:rPr>
              <w:t>Get full names on testimonials</w:t>
            </w:r>
          </w:p>
        </w:tc>
        <w:tc>
          <w:tcPr>
            <w:tcW w:type="dxa" w:w="2232"/>
          </w:tcPr>
          <w:p>
            <w:r>
              <w:rPr>
                <w:color w:val="57534E"/>
                <w:sz w:val="20"/>
              </w:rPr>
              <w:t>Low (outreach)</w:t>
            </w:r>
          </w:p>
        </w:tc>
        <w:tc>
          <w:tcPr>
            <w:tcW w:type="dxa" w:w="2232"/>
          </w:tcPr>
          <w:p>
            <w:r>
              <w:rPr>
                <w:color w:val="57534E"/>
                <w:sz w:val="20"/>
              </w:rPr>
              <w:t>Now</w:t>
            </w:r>
          </w:p>
        </w:tc>
      </w:tr>
      <w:tr>
        <w:tc>
          <w:tcPr>
            <w:tcW w:type="dxa" w:w="2232"/>
            <w:shd w:val="clear" w:color="auto" w:fill="FEF2F2"/>
          </w:tcPr>
          <w:p>
            <w:r>
              <w:rPr>
                <w:b/>
                <w:color w:val="DC2626"/>
                <w:sz w:val="20"/>
              </w:rPr>
              <w:t>HIGH</w:t>
            </w:r>
          </w:p>
        </w:tc>
        <w:tc>
          <w:tcPr>
            <w:tcW w:type="dxa" w:w="2232"/>
          </w:tcPr>
          <w:p>
            <w:r>
              <w:rPr>
                <w:color w:val="57534E"/>
                <w:sz w:val="20"/>
              </w:rPr>
              <w:t>Publish 3–5 thought leadership pieces</w:t>
            </w:r>
          </w:p>
        </w:tc>
        <w:tc>
          <w:tcPr>
            <w:tcW w:type="dxa" w:w="2232"/>
          </w:tcPr>
          <w:p>
            <w:r>
              <w:rPr>
                <w:color w:val="57534E"/>
                <w:sz w:val="20"/>
              </w:rPr>
              <w:t>High (writing)</w:t>
            </w:r>
          </w:p>
        </w:tc>
        <w:tc>
          <w:tcPr>
            <w:tcW w:type="dxa" w:w="2232"/>
          </w:tcPr>
          <w:p>
            <w:r>
              <w:rPr>
                <w:color w:val="57534E"/>
                <w:sz w:val="20"/>
              </w:rPr>
              <w:t>Q2 2026</w:t>
            </w:r>
          </w:p>
        </w:tc>
      </w:tr>
      <w:tr>
        <w:tc>
          <w:tcPr>
            <w:tcW w:type="dxa" w:w="2232"/>
            <w:shd w:val="clear" w:color="auto" w:fill="FFFBEB"/>
          </w:tcPr>
          <w:p>
            <w:r>
              <w:rPr>
                <w:b/>
                <w:color w:val="D97706"/>
                <w:sz w:val="20"/>
              </w:rPr>
              <w:t>MEDIUM</w:t>
            </w:r>
          </w:p>
        </w:tc>
        <w:tc>
          <w:tcPr>
            <w:tcW w:type="dxa" w:w="2232"/>
          </w:tcPr>
          <w:p>
            <w:r>
              <w:rPr>
                <w:color w:val="57534E"/>
                <w:sz w:val="20"/>
              </w:rPr>
              <w:t>Decide on / remove dual-availability badge</w:t>
            </w:r>
          </w:p>
        </w:tc>
        <w:tc>
          <w:tcPr>
            <w:tcW w:type="dxa" w:w="2232"/>
          </w:tcPr>
          <w:p>
            <w:r>
              <w:rPr>
                <w:color w:val="57534E"/>
                <w:sz w:val="20"/>
              </w:rPr>
              <w:t>Low (1 line)</w:t>
            </w:r>
          </w:p>
        </w:tc>
        <w:tc>
          <w:tcPr>
            <w:tcW w:type="dxa" w:w="2232"/>
          </w:tcPr>
          <w:p>
            <w:r>
              <w:rPr>
                <w:color w:val="57534E"/>
                <w:sz w:val="20"/>
              </w:rPr>
              <w:t>Before next major push</w:t>
            </w:r>
          </w:p>
        </w:tc>
      </w:tr>
      <w:tr>
        <w:tc>
          <w:tcPr>
            <w:tcW w:type="dxa" w:w="2232"/>
            <w:shd w:val="clear" w:color="auto" w:fill="FFFBEB"/>
          </w:tcPr>
          <w:p>
            <w:r>
              <w:rPr>
                <w:b/>
                <w:color w:val="D97706"/>
                <w:sz w:val="20"/>
              </w:rPr>
              <w:t>MEDIUM</w:t>
            </w:r>
          </w:p>
        </w:tc>
        <w:tc>
          <w:tcPr>
            <w:tcW w:type="dxa" w:w="2232"/>
          </w:tcPr>
          <w:p>
            <w:r>
              <w:rPr>
                <w:color w:val="57534E"/>
                <w:sz w:val="20"/>
              </w:rPr>
              <w:t>LinkedIn prominence — move closer to proof</w:t>
            </w:r>
          </w:p>
        </w:tc>
        <w:tc>
          <w:tcPr>
            <w:tcW w:type="dxa" w:w="2232"/>
          </w:tcPr>
          <w:p>
            <w:r>
              <w:rPr>
                <w:color w:val="57534E"/>
                <w:sz w:val="20"/>
              </w:rPr>
              <w:t>Low (layout)</w:t>
            </w:r>
          </w:p>
        </w:tc>
        <w:tc>
          <w:tcPr>
            <w:tcW w:type="dxa" w:w="2232"/>
          </w:tcPr>
          <w:p>
            <w:r>
              <w:rPr>
                <w:color w:val="57534E"/>
                <w:sz w:val="20"/>
              </w:rPr>
              <w:t>Next sprint</w:t>
            </w:r>
          </w:p>
        </w:tc>
      </w:tr>
      <w:tr>
        <w:tc>
          <w:tcPr>
            <w:tcW w:type="dxa" w:w="2232"/>
            <w:shd w:val="clear" w:color="auto" w:fill="FFFBEB"/>
          </w:tcPr>
          <w:p>
            <w:r>
              <w:rPr>
                <w:b/>
                <w:color w:val="D97706"/>
                <w:sz w:val="20"/>
              </w:rPr>
              <w:t>MEDIUM</w:t>
            </w:r>
          </w:p>
        </w:tc>
        <w:tc>
          <w:tcPr>
            <w:tcW w:type="dxa" w:w="2232"/>
          </w:tcPr>
          <w:p>
            <w:r>
              <w:rPr>
                <w:color w:val="57534E"/>
                <w:sz w:val="20"/>
              </w:rPr>
              <w:t>Portfolio cards: lead with outcome metrics</w:t>
            </w:r>
          </w:p>
        </w:tc>
        <w:tc>
          <w:tcPr>
            <w:tcW w:type="dxa" w:w="2232"/>
          </w:tcPr>
          <w:p>
            <w:r>
              <w:rPr>
                <w:color w:val="57534E"/>
                <w:sz w:val="20"/>
              </w:rPr>
              <w:t>Low (copy)</w:t>
            </w:r>
          </w:p>
        </w:tc>
        <w:tc>
          <w:tcPr>
            <w:tcW w:type="dxa" w:w="2232"/>
          </w:tcPr>
          <w:p>
            <w:r>
              <w:rPr>
                <w:color w:val="57534E"/>
                <w:sz w:val="20"/>
              </w:rPr>
              <w:t>Next sprint</w:t>
            </w:r>
          </w:p>
        </w:tc>
      </w:tr>
      <w:tr>
        <w:tc>
          <w:tcPr>
            <w:tcW w:type="dxa" w:w="2232"/>
            <w:shd w:val="clear" w:color="auto" w:fill="EFF6FF"/>
          </w:tcPr>
          <w:p>
            <w:r>
              <w:rPr>
                <w:b/>
                <w:color w:val="1D40AF"/>
                <w:sz w:val="20"/>
              </w:rPr>
              <w:t>LOW</w:t>
            </w:r>
          </w:p>
        </w:tc>
        <w:tc>
          <w:tcPr>
            <w:tcW w:type="dxa" w:w="2232"/>
          </w:tcPr>
          <w:p>
            <w:r>
              <w:rPr>
                <w:color w:val="57534E"/>
                <w:sz w:val="20"/>
              </w:rPr>
              <w:t>SEO meta tags / OG images</w:t>
            </w:r>
          </w:p>
        </w:tc>
        <w:tc>
          <w:tcPr>
            <w:tcW w:type="dxa" w:w="2232"/>
          </w:tcPr>
          <w:p>
            <w:r>
              <w:rPr>
                <w:color w:val="57534E"/>
                <w:sz w:val="20"/>
              </w:rPr>
              <w:t>Medium (1 day)</w:t>
            </w:r>
          </w:p>
        </w:tc>
        <w:tc>
          <w:tcPr>
            <w:tcW w:type="dxa" w:w="2232"/>
          </w:tcPr>
          <w:p>
            <w:r>
              <w:rPr>
                <w:color w:val="57534E"/>
                <w:sz w:val="20"/>
              </w:rPr>
              <w:t>Q2 2026</w:t>
            </w:r>
          </w:p>
        </w:tc>
      </w:tr>
      <w:tr>
        <w:tc>
          <w:tcPr>
            <w:tcW w:type="dxa" w:w="2232"/>
            <w:shd w:val="clear" w:color="auto" w:fill="EFF6FF"/>
          </w:tcPr>
          <w:p>
            <w:r>
              <w:rPr>
                <w:b/>
                <w:color w:val="1D40AF"/>
                <w:sz w:val="20"/>
              </w:rPr>
              <w:t>LOW</w:t>
            </w:r>
          </w:p>
        </w:tc>
        <w:tc>
          <w:tcPr>
            <w:tcW w:type="dxa" w:w="2232"/>
          </w:tcPr>
          <w:p>
            <w:r>
              <w:rPr>
                <w:color w:val="57534E"/>
                <w:sz w:val="20"/>
              </w:rPr>
              <w:t>Code splitting / bundle optimization</w:t>
            </w:r>
          </w:p>
        </w:tc>
        <w:tc>
          <w:tcPr>
            <w:tcW w:type="dxa" w:w="2232"/>
          </w:tcPr>
          <w:p>
            <w:r>
              <w:rPr>
                <w:color w:val="57534E"/>
                <w:sz w:val="20"/>
              </w:rPr>
              <w:t>Medium (2 days)</w:t>
            </w:r>
          </w:p>
        </w:tc>
        <w:tc>
          <w:tcPr>
            <w:tcW w:type="dxa" w:w="2232"/>
          </w:tcPr>
          <w:p>
            <w:r>
              <w:rPr>
                <w:color w:val="57534E"/>
                <w:sz w:val="20"/>
              </w:rPr>
              <w:t>Q3 2026</w:t>
            </w:r>
          </w:p>
        </w:tc>
      </w:tr>
      <w:tr>
        <w:tc>
          <w:tcPr>
            <w:tcW w:type="dxa" w:w="2232"/>
            <w:shd w:val="clear" w:color="auto" w:fill="EFF6FF"/>
          </w:tcPr>
          <w:p>
            <w:r>
              <w:rPr>
                <w:b/>
                <w:color w:val="1D40AF"/>
                <w:sz w:val="20"/>
              </w:rPr>
              <w:t>LOW</w:t>
            </w:r>
          </w:p>
        </w:tc>
        <w:tc>
          <w:tcPr>
            <w:tcW w:type="dxa" w:w="2232"/>
          </w:tcPr>
          <w:p>
            <w:r>
              <w:rPr>
                <w:color w:val="57534E"/>
                <w:sz w:val="20"/>
              </w:rPr>
              <w:t>Audit /booking page separately</w:t>
            </w:r>
          </w:p>
        </w:tc>
        <w:tc>
          <w:tcPr>
            <w:tcW w:type="dxa" w:w="2232"/>
          </w:tcPr>
          <w:p>
            <w:r>
              <w:rPr>
                <w:color w:val="57534E"/>
                <w:sz w:val="20"/>
              </w:rPr>
              <w:t>Low (review)</w:t>
            </w:r>
          </w:p>
        </w:tc>
        <w:tc>
          <w:tcPr>
            <w:tcW w:type="dxa" w:w="2232"/>
          </w:tcPr>
          <w:p>
            <w:r>
              <w:rPr>
                <w:color w:val="57534E"/>
                <w:sz w:val="20"/>
              </w:rPr>
              <w:t>Now</w:t>
            </w:r>
          </w:p>
        </w:tc>
      </w:tr>
    </w:tbl>
    <w:p>
      <w:pPr>
        <w:spacing w:before="480" w:after="120"/>
        <w:pBdr>
          <w:bottom w:val="single" w:sz="6" w:space="4" w:color="C9A44A"/>
        </w:pBdr>
      </w:pPr>
      <w:r>
        <w:rPr>
          <w:rFonts w:ascii="Georgia" w:hAnsi="Georgia"/>
          <w:b w:val="0"/>
          <w:color w:val="1C1917"/>
          <w:sz w:val="32"/>
        </w:rPr>
        <w:t>7. Conclusion</w:t>
      </w:r>
    </w:p>
    <w:p>
      <w:pPr>
        <w:spacing w:after="100"/>
      </w:pPr>
      <w:r>
        <w:rPr>
          <w:i w:val="0"/>
          <w:color w:val="57534E"/>
          <w:sz w:val="22"/>
        </w:rPr>
        <w:t>doxaandco.co is now a genuinely credible consulting website. The positioning is sharp, the pricing is transparent, the case studies are real, and the professional infrastructure (documents, legal pages, terms) signals operational maturity. Most consultants at this stage don't have half this in place.</w:t>
      </w:r>
    </w:p>
    <w:p>
      <w:pPr>
        <w:spacing w:after="100"/>
      </w:pPr>
      <w:r>
        <w:rPr>
          <w:i w:val="0"/>
          <w:color w:val="57534E"/>
          <w:sz w:val="22"/>
        </w:rPr>
        <w:t>The site's biggest remaining gap is not design or copy — it's evidence of thinking. A consultant charging $8k–$20k+ for an engagement needs to show how they think, not just what they've done. Three to five published insights on the problems your ICP faces would close this gap.</w:t>
      </w:r>
    </w:p>
    <w:p>
      <w:pPr>
        <w:spacing w:after="100"/>
      </w:pPr>
      <w:r>
        <w:rPr>
          <w:i w:val="0"/>
          <w:color w:val="57534E"/>
          <w:sz w:val="22"/>
        </w:rPr>
        <w:t>The dual job-seeking / consulting signal is a genuine strategic tension that needs a decision, not a design fix. Make the call, then optimize around it.</w:t>
      </w:r>
    </w:p>
    <w:p>
      <w:pPr>
        <w:spacing w:after="100"/>
      </w:pPr>
      <w:r>
        <w:rPr>
          <w:i w:val="0"/>
          <w:color w:val="57534E"/>
          <w:sz w:val="22"/>
        </w:rPr>
        <w:t>Everything else is optimization. The foundation is solid.</w:t>
      </w:r>
    </w:p>
    <w:p/>
    <w:p>
      <w:r>
        <w:rPr>
          <w:i/>
          <w:color w:val="A8A29E"/>
          <w:sz w:val="18"/>
        </w:rPr>
        <w:t>— Internal Audit, Doxa &amp; Co  ·  April 11, 2026  ·  Rev. 3 (Fresh Eyes)</w:t>
      </w:r>
    </w:p>
    <w:p>
      <w:pPr>
        <w:spacing w:before="0" w:after="200"/>
        <w:pBdr>
          <w:bottom w:val="single" w:sz="12" w:space="4" w:color="E7E5E0"/>
        </w:pBdr>
      </w:pPr>
    </w:p>
    <w:p>
      <w:r>
        <w:rPr>
          <w:color w:val="A8A29E"/>
          <w:sz w:val="16"/>
        </w:rPr>
        <w:t>Doxa &amp; Co  ·  ename@doxaandco.co  ·  doxaandco.co    |    Website Audit Report · Rev. 3 · April 2026</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