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t xml:space="preserve"/>
      </w:r>
    </w:p>
    <w:p>
      <w:pPr>
        <w:spacing w:after="60" w:before="0"/>
      </w:pPr>
      <w:r>
        <w:rPr>
          <w:rFonts w:ascii="Arial" w:cs="Arial" w:eastAsia="Arial" w:hAnsi="Arial"/>
          <w:b/>
          <w:bCs/>
          <w:caps/>
          <w:color w:val="1C1917"/>
          <w:spacing w:val="160"/>
          <w:sz w:val="36"/>
          <w:szCs w:val="36"/>
        </w:rPr>
        <w:t xml:space="preserve">CONSULTING SERVICES AGREEMENT</w:t>
      </w:r>
    </w:p>
    <w:p>
      <w:pPr>
        <w:pBdr>
          <w:bottom w:val="single" w:color="059669" w:sz="8" w:space="1"/>
        </w:pBdr>
        <w:spacing w:after="120" w:before="0"/>
      </w:pPr>
    </w:p>
    <w:p>
      <w:pPr>
        <w:spacing w:after="120" w:before="0"/>
      </w:pPr>
      <w:r>
        <w:t xml:space="preserve"/>
      </w:r>
    </w:p>
    <w:p>
      <w:pPr>
        <w:spacing w:after="80" w:before="300"/>
      </w:pPr>
      <w:r>
        <w:rPr>
          <w:rFonts w:ascii="Arial" w:cs="Arial" w:eastAsia="Arial" w:hAnsi="Arial"/>
          <w:b/>
          <w:bCs/>
          <w:caps/>
          <w:color w:val="059669"/>
          <w:spacing w:val="120"/>
          <w:sz w:val="16"/>
          <w:szCs w:val="16"/>
        </w:rPr>
        <w:t xml:space="preserve">Parties</w:t>
      </w:r>
    </w:p>
    <w:p>
      <w:pPr>
        <w:spacing w:after="80" w:before="0"/>
        <w:jc w:val="left"/>
      </w:pPr>
      <w:r>
        <w:rPr>
          <w:rFonts w:ascii="Arial" w:cs="Arial" w:eastAsia="Arial" w:hAnsi="Arial"/>
          <w:b w:val="false"/>
          <w:bCs w:val="false"/>
          <w:i w:val="false"/>
          <w:iCs w:val="false"/>
          <w:color w:val="1C1917"/>
          <w:sz w:val="21"/>
          <w:szCs w:val="21"/>
        </w:rPr>
        <w:t xml:space="preserve">This Consulting Services Agreement ("Agreement") is entered into as of [DATE] ("Effective Date") by and between:</w:t>
      </w:r>
    </w:p>
    <w:p>
      <w:pPr>
        <w:spacing w:after="80" w:before="0"/>
      </w:pPr>
      <w:r>
        <w:t xml:space="preserve"/>
      </w:r>
    </w:p>
    <w:p>
      <w:pPr>
        <w:spacing w:after="80" w:before="0"/>
        <w:jc w:val="left"/>
      </w:pPr>
      <w:r>
        <w:rPr>
          <w:rFonts w:ascii="Arial" w:cs="Arial" w:eastAsia="Arial" w:hAnsi="Arial"/>
          <w:b/>
          <w:bCs/>
          <w:i w:val="false"/>
          <w:iCs w:val="false"/>
          <w:color w:val="1C1917"/>
          <w:sz w:val="21"/>
          <w:szCs w:val="21"/>
        </w:rPr>
        <w:t xml:space="preserve">Doxa &amp; Co ("Consultant")</w:t>
      </w:r>
    </w:p>
    <w:p>
      <w:pPr>
        <w:spacing w:after="80" w:before="0"/>
        <w:jc w:val="left"/>
      </w:pPr>
      <w:r>
        <w:rPr>
          <w:rFonts w:ascii="Arial" w:cs="Arial" w:eastAsia="Arial" w:hAnsi="Arial"/>
          <w:b w:val="false"/>
          <w:bCs w:val="false"/>
          <w:i w:val="false"/>
          <w:iCs w:val="false"/>
          <w:color w:val="1C1917"/>
          <w:sz w:val="21"/>
          <w:szCs w:val="21"/>
        </w:rPr>
        <w:t xml:space="preserve">Enam Egyir, Founder &amp; Principal Consultant</w:t>
      </w:r>
    </w:p>
    <w:p>
      <w:pPr>
        <w:spacing w:after="80" w:before="0"/>
        <w:jc w:val="left"/>
      </w:pPr>
      <w:r>
        <w:rPr>
          <w:rFonts w:ascii="Arial" w:cs="Arial" w:eastAsia="Arial" w:hAnsi="Arial"/>
          <w:b w:val="false"/>
          <w:bCs w:val="false"/>
          <w:i w:val="false"/>
          <w:iCs w:val="false"/>
          <w:color w:val="1C1917"/>
          <w:sz w:val="21"/>
          <w:szCs w:val="21"/>
        </w:rPr>
        <w:t xml:space="preserve">doxaandco.co  ·  hello@doxaandco.co</w:t>
      </w:r>
    </w:p>
    <w:p>
      <w:pPr>
        <w:spacing w:after="120" w:before="0"/>
      </w:pPr>
      <w:r>
        <w:t xml:space="preserve"/>
      </w:r>
    </w:p>
    <w:p>
      <w:pPr>
        <w:spacing w:after="80" w:before="0"/>
        <w:jc w:val="center"/>
      </w:pPr>
      <w:r>
        <w:rPr>
          <w:rFonts w:ascii="Arial" w:cs="Arial" w:eastAsia="Arial" w:hAnsi="Arial"/>
          <w:b/>
          <w:bCs/>
          <w:i w:val="false"/>
          <w:iCs w:val="false"/>
          <w:color w:val="1C1917"/>
          <w:sz w:val="21"/>
          <w:szCs w:val="21"/>
        </w:rPr>
        <w:t xml:space="preserve">AND</w:t>
      </w:r>
    </w:p>
    <w:p>
      <w:pPr>
        <w:spacing w:after="120" w:before="0"/>
      </w:pPr>
      <w:r>
        <w:t xml:space="preserve"/>
      </w:r>
    </w:p>
    <w:p>
      <w:pPr>
        <w:spacing w:after="80" w:before="0"/>
        <w:jc w:val="left"/>
      </w:pPr>
      <w:r>
        <w:rPr>
          <w:rFonts w:ascii="Arial" w:cs="Arial" w:eastAsia="Arial" w:hAnsi="Arial"/>
          <w:b/>
          <w:bCs/>
          <w:i w:val="false"/>
          <w:iCs w:val="false"/>
          <w:color w:val="1C1917"/>
          <w:sz w:val="21"/>
          <w:szCs w:val="21"/>
        </w:rPr>
        <w:t xml:space="preserve">[CLIENT LEGAL NAME] ("Client")</w:t>
      </w:r>
    </w:p>
    <w:p>
      <w:pPr>
        <w:spacing w:after="80" w:before="0"/>
        <w:jc w:val="left"/>
      </w:pPr>
      <w:r>
        <w:rPr>
          <w:rFonts w:ascii="Arial" w:cs="Arial" w:eastAsia="Arial" w:hAnsi="Arial"/>
          <w:b w:val="false"/>
          <w:bCs w:val="false"/>
          <w:i w:val="false"/>
          <w:iCs w:val="false"/>
          <w:color w:val="1C1917"/>
          <w:sz w:val="21"/>
          <w:szCs w:val="21"/>
        </w:rPr>
        <w:t xml:space="preserve">[Client Address]</w:t>
      </w:r>
    </w:p>
    <w:p>
      <w:pPr>
        <w:spacing w:after="80" w:before="0"/>
        <w:jc w:val="left"/>
      </w:pPr>
      <w:r>
        <w:rPr>
          <w:rFonts w:ascii="Arial" w:cs="Arial" w:eastAsia="Arial" w:hAnsi="Arial"/>
          <w:b w:val="false"/>
          <w:bCs w:val="false"/>
          <w:i w:val="false"/>
          <w:iCs w:val="false"/>
          <w:color w:val="1C1917"/>
          <w:sz w:val="21"/>
          <w:szCs w:val="21"/>
        </w:rPr>
        <w:t xml:space="preserve">[Client Email]  ·  [Client Phone]</w:t>
      </w:r>
    </w:p>
    <w:p>
      <w:pPr>
        <w:spacing w:after="200" w:before="0"/>
      </w:pPr>
      <w:r>
        <w:t xml:space="preserve"/>
      </w:r>
    </w:p>
    <w:p>
      <w:pPr>
        <w:spacing w:after="80" w:before="300"/>
      </w:pPr>
      <w:r>
        <w:rPr>
          <w:rFonts w:ascii="Arial" w:cs="Arial" w:eastAsia="Arial" w:hAnsi="Arial"/>
          <w:b/>
          <w:bCs/>
          <w:caps/>
          <w:color w:val="059669"/>
          <w:spacing w:val="120"/>
          <w:sz w:val="16"/>
          <w:szCs w:val="16"/>
        </w:rPr>
        <w:t xml:space="preserve">1. Scope of Services</w:t>
      </w:r>
    </w:p>
    <w:p>
      <w:pPr>
        <w:spacing w:after="80" w:before="0"/>
        <w:jc w:val="left"/>
      </w:pPr>
      <w:r>
        <w:rPr>
          <w:rFonts w:ascii="Arial" w:cs="Arial" w:eastAsia="Arial" w:hAnsi="Arial"/>
          <w:b w:val="false"/>
          <w:bCs w:val="false"/>
          <w:i w:val="false"/>
          <w:iCs w:val="false"/>
          <w:color w:val="1C1917"/>
          <w:sz w:val="21"/>
          <w:szCs w:val="21"/>
        </w:rPr>
        <w:t xml:space="preserve">Consultant agrees to provide the following services ("Services") as described in the attached Statement of Work (Exhibit A) or as mutually agreed in writing:</w:t>
      </w:r>
    </w:p>
    <w:p>
      <w:pPr>
        <w:spacing w:after="60" w:before="0"/>
      </w:pPr>
      <w:r>
        <w:t xml:space="preserve"/>
      </w:r>
    </w:p>
    <w:p>
      <w:pPr>
        <w:spacing w:after="80" w:before="0"/>
        <w:jc w:val="left"/>
      </w:pPr>
      <w:r>
        <w:rPr>
          <w:rFonts w:ascii="Arial" w:cs="Arial" w:eastAsia="Arial" w:hAnsi="Arial"/>
          <w:b w:val="false"/>
          <w:bCs w:val="false"/>
          <w:i/>
          <w:iCs/>
          <w:color w:val="78716C"/>
          <w:sz w:val="21"/>
          <w:szCs w:val="21"/>
        </w:rPr>
        <w:t xml:space="preserve">[Describe services here — e.g., Fractional Product Owner, AI Advisory, Clarity Sprint, etc.]</w:t>
      </w:r>
    </w:p>
    <w:p>
      <w:pPr>
        <w:spacing w:after="60" w:before="0"/>
      </w:pPr>
      <w:r>
        <w:t xml:space="preserve"/>
      </w:r>
    </w:p>
    <w:p>
      <w:pPr>
        <w:spacing w:after="80" w:before="0"/>
        <w:jc w:val="left"/>
      </w:pPr>
      <w:r>
        <w:rPr>
          <w:rFonts w:ascii="Arial" w:cs="Arial" w:eastAsia="Arial" w:hAnsi="Arial"/>
          <w:b w:val="false"/>
          <w:bCs w:val="false"/>
          <w:i w:val="false"/>
          <w:iCs w:val="false"/>
          <w:color w:val="1C1917"/>
          <w:sz w:val="21"/>
          <w:szCs w:val="21"/>
        </w:rPr>
        <w:t xml:space="preserve">Any changes to the scope of Services must be agreed upon in writing by both parties prior to implementation.</w:t>
      </w:r>
    </w:p>
    <w:p>
      <w:pPr>
        <w:spacing w:after="200" w:before="0"/>
      </w:pPr>
      <w:r>
        <w:t xml:space="preserve"/>
      </w:r>
    </w:p>
    <w:p>
      <w:pPr>
        <w:spacing w:after="80" w:before="300"/>
      </w:pPr>
      <w:r>
        <w:rPr>
          <w:rFonts w:ascii="Arial" w:cs="Arial" w:eastAsia="Arial" w:hAnsi="Arial"/>
          <w:b/>
          <w:bCs/>
          <w:caps/>
          <w:color w:val="059669"/>
          <w:spacing w:val="120"/>
          <w:sz w:val="16"/>
          <w:szCs w:val="16"/>
        </w:rPr>
        <w:t xml:space="preserve">2. Term</w:t>
      </w:r>
    </w:p>
    <w:p>
      <w:pPr>
        <w:spacing w:after="80" w:before="0"/>
        <w:jc w:val="left"/>
      </w:pPr>
      <w:r>
        <w:rPr>
          <w:rFonts w:ascii="Arial" w:cs="Arial" w:eastAsia="Arial" w:hAnsi="Arial"/>
          <w:b w:val="false"/>
          <w:bCs w:val="false"/>
          <w:i w:val="false"/>
          <w:iCs w:val="false"/>
          <w:color w:val="1C1917"/>
          <w:sz w:val="21"/>
          <w:szCs w:val="21"/>
        </w:rPr>
        <w:t xml:space="preserve">This Agreement begins on the Effective Date and continues until the Services are completed or either party terminates as described in Section 7, unless otherwise specified in the Statement of Work.</w:t>
      </w:r>
    </w:p>
    <w:p>
      <w:pPr>
        <w:spacing w:after="200" w:before="0"/>
      </w:pPr>
      <w:r>
        <w:t xml:space="preserve"/>
      </w:r>
    </w:p>
    <w:p>
      <w:pPr>
        <w:spacing w:after="80" w:before="300"/>
      </w:pPr>
      <w:r>
        <w:rPr>
          <w:rFonts w:ascii="Arial" w:cs="Arial" w:eastAsia="Arial" w:hAnsi="Arial"/>
          <w:b/>
          <w:bCs/>
          <w:caps/>
          <w:color w:val="059669"/>
          <w:spacing w:val="120"/>
          <w:sz w:val="16"/>
          <w:szCs w:val="16"/>
        </w:rPr>
        <w:t xml:space="preserve">3. Compensation &amp; Payment</w:t>
      </w:r>
    </w:p>
    <w:p>
      <w:pPr>
        <w:pStyle w:val="ListParagraph"/>
        <w:numPr>
          <w:ilvl w:val="0"/>
          <w:numId w:val="2"/>
        </w:numPr>
        <w:spacing w:after="60" w:before="0"/>
      </w:pPr>
      <w:r>
        <w:rPr>
          <w:rFonts w:ascii="Arial" w:cs="Arial" w:eastAsia="Arial" w:hAnsi="Arial"/>
          <w:color w:val="1C1917"/>
          <w:sz w:val="21"/>
          <w:szCs w:val="21"/>
        </w:rPr>
        <w:t xml:space="preserve">The Client agrees to pay Consultant the fees outlined in the Statement of Work or invoice.</w:t>
      </w:r>
    </w:p>
    <w:p>
      <w:pPr>
        <w:pStyle w:val="ListParagraph"/>
        <w:numPr>
          <w:ilvl w:val="0"/>
          <w:numId w:val="2"/>
        </w:numPr>
        <w:spacing w:after="60" w:before="0"/>
      </w:pPr>
      <w:r>
        <w:rPr>
          <w:rFonts w:ascii="Arial" w:cs="Arial" w:eastAsia="Arial" w:hAnsi="Arial"/>
          <w:color w:val="1C1917"/>
          <w:sz w:val="21"/>
          <w:szCs w:val="21"/>
        </w:rPr>
        <w:t xml:space="preserve">Project-based work: 50% due upon signing; 50% due upon delivery or the agreed milestone date.</w:t>
      </w:r>
    </w:p>
    <w:p>
      <w:pPr>
        <w:pStyle w:val="ListParagraph"/>
        <w:numPr>
          <w:ilvl w:val="0"/>
          <w:numId w:val="2"/>
        </w:numPr>
        <w:spacing w:after="60" w:before="0"/>
      </w:pPr>
      <w:r>
        <w:rPr>
          <w:rFonts w:ascii="Arial" w:cs="Arial" w:eastAsia="Arial" w:hAnsi="Arial"/>
          <w:color w:val="1C1917"/>
          <w:sz w:val="21"/>
          <w:szCs w:val="21"/>
        </w:rPr>
        <w:t xml:space="preserve">Retainer engagements: Invoiced on the 1st of each month. Payment due within 7 days.</w:t>
      </w:r>
    </w:p>
    <w:p>
      <w:pPr>
        <w:pStyle w:val="ListParagraph"/>
        <w:numPr>
          <w:ilvl w:val="0"/>
          <w:numId w:val="2"/>
        </w:numPr>
        <w:spacing w:after="60" w:before="0"/>
      </w:pPr>
      <w:r>
        <w:rPr>
          <w:rFonts w:ascii="Arial" w:cs="Arial" w:eastAsia="Arial" w:hAnsi="Arial"/>
          <w:color w:val="1C1917"/>
          <w:sz w:val="21"/>
          <w:szCs w:val="21"/>
        </w:rPr>
        <w:t xml:space="preserve">Strategy session fees are non-refundable but credited toward any paid project initiated within 60 days.</w:t>
      </w:r>
    </w:p>
    <w:p>
      <w:pPr>
        <w:pStyle w:val="ListParagraph"/>
        <w:numPr>
          <w:ilvl w:val="0"/>
          <w:numId w:val="2"/>
        </w:numPr>
        <w:spacing w:after="60" w:before="0"/>
      </w:pPr>
      <w:r>
        <w:rPr>
          <w:rFonts w:ascii="Arial" w:cs="Arial" w:eastAsia="Arial" w:hAnsi="Arial"/>
          <w:color w:val="1C1917"/>
          <w:sz w:val="21"/>
          <w:szCs w:val="21"/>
        </w:rPr>
        <w:t xml:space="preserve">Invoices unpaid after 15 days incur a 1.5% monthly late fee.</w:t>
      </w:r>
    </w:p>
    <w:p>
      <w:pPr>
        <w:pStyle w:val="ListParagraph"/>
        <w:numPr>
          <w:ilvl w:val="0"/>
          <w:numId w:val="2"/>
        </w:numPr>
        <w:spacing w:after="60" w:before="0"/>
      </w:pPr>
      <w:r>
        <w:rPr>
          <w:rFonts w:ascii="Arial" w:cs="Arial" w:eastAsia="Arial" w:hAnsi="Arial"/>
          <w:color w:val="1C1917"/>
          <w:sz w:val="21"/>
          <w:szCs w:val="21"/>
        </w:rPr>
        <w:t xml:space="preserve">Accepted payment methods: ACH transfer, Zelle, PayPal, or check. Wire available upon request.</w:t>
      </w:r>
    </w:p>
    <w:p>
      <w:pPr>
        <w:spacing w:after="200" w:before="0"/>
      </w:pPr>
      <w:r>
        <w:t xml:space="preserve"/>
      </w:r>
    </w:p>
    <w:p>
      <w:pPr>
        <w:spacing w:after="80" w:before="300"/>
      </w:pPr>
      <w:r>
        <w:rPr>
          <w:rFonts w:ascii="Arial" w:cs="Arial" w:eastAsia="Arial" w:hAnsi="Arial"/>
          <w:b/>
          <w:bCs/>
          <w:caps/>
          <w:color w:val="059669"/>
          <w:spacing w:val="120"/>
          <w:sz w:val="16"/>
          <w:szCs w:val="16"/>
        </w:rPr>
        <w:t xml:space="preserve">4. Independent Contractor</w:t>
      </w:r>
    </w:p>
    <w:p>
      <w:pPr>
        <w:spacing w:after="80" w:before="0"/>
        <w:jc w:val="left"/>
      </w:pPr>
      <w:r>
        <w:rPr>
          <w:rFonts w:ascii="Arial" w:cs="Arial" w:eastAsia="Arial" w:hAnsi="Arial"/>
          <w:b w:val="false"/>
          <w:bCs w:val="false"/>
          <w:i w:val="false"/>
          <w:iCs w:val="false"/>
          <w:color w:val="1C1917"/>
          <w:sz w:val="21"/>
          <w:szCs w:val="21"/>
        </w:rPr>
        <w:t xml:space="preserve">Consultant is an independent contractor and not an employee, partner, or agent of Client. Consultant is solely responsible for all taxes, insurance, and benefits related to compensation received under this Agreement.</w:t>
      </w:r>
    </w:p>
    <w:p>
      <w:pPr>
        <w:spacing w:after="200" w:before="0"/>
      </w:pPr>
      <w:r>
        <w:t xml:space="preserve"/>
      </w:r>
    </w:p>
    <w:p>
      <w:pPr>
        <w:spacing w:after="80" w:before="300"/>
      </w:pPr>
      <w:r>
        <w:rPr>
          <w:rFonts w:ascii="Arial" w:cs="Arial" w:eastAsia="Arial" w:hAnsi="Arial"/>
          <w:b/>
          <w:bCs/>
          <w:caps/>
          <w:color w:val="059669"/>
          <w:spacing w:val="120"/>
          <w:sz w:val="16"/>
          <w:szCs w:val="16"/>
        </w:rPr>
        <w:t xml:space="preserve">5. Confidentiality</w:t>
      </w:r>
    </w:p>
    <w:p>
      <w:pPr>
        <w:spacing w:after="80" w:before="0"/>
        <w:jc w:val="left"/>
      </w:pPr>
      <w:r>
        <w:rPr>
          <w:rFonts w:ascii="Arial" w:cs="Arial" w:eastAsia="Arial" w:hAnsi="Arial"/>
          <w:b w:val="false"/>
          <w:bCs w:val="false"/>
          <w:i w:val="false"/>
          <w:iCs w:val="false"/>
          <w:color w:val="1C1917"/>
          <w:sz w:val="21"/>
          <w:szCs w:val="21"/>
        </w:rPr>
        <w:t xml:space="preserve">Each party agrees to keep the other's Confidential Information strictly confidential and not to disclose it to any third party without prior written consent. "Confidential Information" includes business plans, product data, client lists, financial information, and any materials marked confidential.</w:t>
      </w:r>
    </w:p>
    <w:p>
      <w:pPr>
        <w:spacing w:after="60" w:before="0"/>
      </w:pPr>
      <w:r>
        <w:t xml:space="preserve"/>
      </w:r>
    </w:p>
    <w:p>
      <w:pPr>
        <w:spacing w:after="80" w:before="0"/>
        <w:jc w:val="left"/>
      </w:pPr>
      <w:r>
        <w:rPr>
          <w:rFonts w:ascii="Arial" w:cs="Arial" w:eastAsia="Arial" w:hAnsi="Arial"/>
          <w:b w:val="false"/>
          <w:bCs w:val="false"/>
          <w:i w:val="false"/>
          <w:iCs w:val="false"/>
          <w:color w:val="1C1917"/>
          <w:sz w:val="21"/>
          <w:szCs w:val="21"/>
        </w:rPr>
        <w:t xml:space="preserve">This obligation survives termination of this Agreement for a period of two (2) years.</w:t>
      </w:r>
    </w:p>
    <w:p>
      <w:pPr>
        <w:spacing w:after="200" w:before="0"/>
      </w:pPr>
      <w:r>
        <w:t xml:space="preserve"/>
      </w:r>
    </w:p>
    <w:p>
      <w:pPr>
        <w:spacing w:after="80" w:before="300"/>
      </w:pPr>
      <w:r>
        <w:rPr>
          <w:rFonts w:ascii="Arial" w:cs="Arial" w:eastAsia="Arial" w:hAnsi="Arial"/>
          <w:b/>
          <w:bCs/>
          <w:caps/>
          <w:color w:val="059669"/>
          <w:spacing w:val="120"/>
          <w:sz w:val="16"/>
          <w:szCs w:val="16"/>
        </w:rPr>
        <w:t xml:space="preserve">6. Intellectual Property</w:t>
      </w:r>
    </w:p>
    <w:p>
      <w:pPr>
        <w:spacing w:after="80" w:before="0"/>
        <w:jc w:val="left"/>
      </w:pPr>
      <w:r>
        <w:rPr>
          <w:rFonts w:ascii="Arial" w:cs="Arial" w:eastAsia="Arial" w:hAnsi="Arial"/>
          <w:b w:val="false"/>
          <w:bCs w:val="false"/>
          <w:i w:val="false"/>
          <w:iCs w:val="false"/>
          <w:color w:val="1C1917"/>
          <w:sz w:val="21"/>
          <w:szCs w:val="21"/>
        </w:rPr>
        <w:t xml:space="preserve">All work product, deliverables, documents, and materials created by Consultant specifically for Client under this Agreement ("Work Product") shall, upon full payment, become the property of Client, except that:</w:t>
      </w:r>
    </w:p>
    <w:p>
      <w:pPr>
        <w:pStyle w:val="ListParagraph"/>
        <w:numPr>
          <w:ilvl w:val="0"/>
          <w:numId w:val="2"/>
        </w:numPr>
        <w:spacing w:after="60" w:before="0"/>
      </w:pPr>
      <w:r>
        <w:rPr>
          <w:rFonts w:ascii="Arial" w:cs="Arial" w:eastAsia="Arial" w:hAnsi="Arial"/>
          <w:color w:val="1C1917"/>
          <w:sz w:val="21"/>
          <w:szCs w:val="21"/>
        </w:rPr>
        <w:t xml:space="preserve">Consultant retains rights to all pre-existing tools, frameworks, templates, and methodologies used to create the Work Product.</w:t>
      </w:r>
    </w:p>
    <w:p>
      <w:pPr>
        <w:pStyle w:val="ListParagraph"/>
        <w:numPr>
          <w:ilvl w:val="0"/>
          <w:numId w:val="2"/>
        </w:numPr>
        <w:spacing w:after="60" w:before="0"/>
      </w:pPr>
      <w:r>
        <w:rPr>
          <w:rFonts w:ascii="Arial" w:cs="Arial" w:eastAsia="Arial" w:hAnsi="Arial"/>
          <w:color w:val="1C1917"/>
          <w:sz w:val="21"/>
          <w:szCs w:val="21"/>
        </w:rPr>
        <w:t xml:space="preserve">Consultant may reference the engagement in general terms (e.g., in a portfolio or case study) without disclosing confidential Client information, unless Client requests otherwise in writing.</w:t>
      </w:r>
    </w:p>
    <w:p>
      <w:pPr>
        <w:spacing w:after="200" w:before="0"/>
      </w:pPr>
      <w:r>
        <w:t xml:space="preserve"/>
      </w:r>
    </w:p>
    <w:p>
      <w:pPr>
        <w:spacing w:after="80" w:before="300"/>
      </w:pPr>
      <w:r>
        <w:rPr>
          <w:rFonts w:ascii="Arial" w:cs="Arial" w:eastAsia="Arial" w:hAnsi="Arial"/>
          <w:b/>
          <w:bCs/>
          <w:caps/>
          <w:color w:val="059669"/>
          <w:spacing w:val="120"/>
          <w:sz w:val="16"/>
          <w:szCs w:val="16"/>
        </w:rPr>
        <w:t xml:space="preserve">7. Termination</w:t>
      </w:r>
    </w:p>
    <w:p>
      <w:pPr>
        <w:pStyle w:val="ListParagraph"/>
        <w:numPr>
          <w:ilvl w:val="0"/>
          <w:numId w:val="2"/>
        </w:numPr>
        <w:spacing w:after="60" w:before="0"/>
      </w:pPr>
      <w:r>
        <w:rPr>
          <w:rFonts w:ascii="Arial" w:cs="Arial" w:eastAsia="Arial" w:hAnsi="Arial"/>
          <w:color w:val="1C1917"/>
          <w:sz w:val="21"/>
          <w:szCs w:val="21"/>
        </w:rPr>
        <w:t xml:space="preserve">Either party may terminate this Agreement with 14 days written notice.</w:t>
      </w:r>
    </w:p>
    <w:p>
      <w:pPr>
        <w:pStyle w:val="ListParagraph"/>
        <w:numPr>
          <w:ilvl w:val="0"/>
          <w:numId w:val="2"/>
        </w:numPr>
        <w:spacing w:after="60" w:before="0"/>
      </w:pPr>
      <w:r>
        <w:rPr>
          <w:rFonts w:ascii="Arial" w:cs="Arial" w:eastAsia="Arial" w:hAnsi="Arial"/>
          <w:color w:val="1C1917"/>
          <w:sz w:val="21"/>
          <w:szCs w:val="21"/>
        </w:rPr>
        <w:t xml:space="preserve">Client is responsible for fees for all work completed or in-progress as of the termination date.</w:t>
      </w:r>
    </w:p>
    <w:p>
      <w:pPr>
        <w:pStyle w:val="ListParagraph"/>
        <w:numPr>
          <w:ilvl w:val="0"/>
          <w:numId w:val="2"/>
        </w:numPr>
        <w:spacing w:after="60" w:before="0"/>
      </w:pPr>
      <w:r>
        <w:rPr>
          <w:rFonts w:ascii="Arial" w:cs="Arial" w:eastAsia="Arial" w:hAnsi="Arial"/>
          <w:color w:val="1C1917"/>
          <w:sz w:val="21"/>
          <w:szCs w:val="21"/>
        </w:rPr>
        <w:t xml:space="preserve">Retainer engagements: The current month's retainer is non-refundable upon termination.</w:t>
      </w:r>
    </w:p>
    <w:p>
      <w:pPr>
        <w:pStyle w:val="ListParagraph"/>
        <w:numPr>
          <w:ilvl w:val="0"/>
          <w:numId w:val="2"/>
        </w:numPr>
        <w:spacing w:after="60" w:before="0"/>
      </w:pPr>
      <w:r>
        <w:rPr>
          <w:rFonts w:ascii="Arial" w:cs="Arial" w:eastAsia="Arial" w:hAnsi="Arial"/>
          <w:color w:val="1C1917"/>
          <w:sz w:val="21"/>
          <w:szCs w:val="21"/>
        </w:rPr>
        <w:t xml:space="preserve">Consultant reserves the right to terminate immediately for non-payment or conduct that violates this Agreement.</w:t>
      </w:r>
    </w:p>
    <w:p>
      <w:pPr>
        <w:spacing w:after="200" w:before="0"/>
      </w:pPr>
      <w:r>
        <w:t xml:space="preserve"/>
      </w:r>
    </w:p>
    <w:p>
      <w:pPr>
        <w:spacing w:after="80" w:before="300"/>
      </w:pPr>
      <w:r>
        <w:rPr>
          <w:rFonts w:ascii="Arial" w:cs="Arial" w:eastAsia="Arial" w:hAnsi="Arial"/>
          <w:b/>
          <w:bCs/>
          <w:caps/>
          <w:color w:val="059669"/>
          <w:spacing w:val="120"/>
          <w:sz w:val="16"/>
          <w:szCs w:val="16"/>
        </w:rPr>
        <w:t xml:space="preserve">8. Limitation of Liability</w:t>
      </w:r>
    </w:p>
    <w:p>
      <w:pPr>
        <w:spacing w:after="80" w:before="0"/>
        <w:jc w:val="left"/>
      </w:pPr>
      <w:r>
        <w:rPr>
          <w:rFonts w:ascii="Arial" w:cs="Arial" w:eastAsia="Arial" w:hAnsi="Arial"/>
          <w:b w:val="false"/>
          <w:bCs w:val="false"/>
          <w:i w:val="false"/>
          <w:iCs w:val="false"/>
          <w:color w:val="1C1917"/>
          <w:sz w:val="21"/>
          <w:szCs w:val="21"/>
        </w:rPr>
        <w:t xml:space="preserve">Consultant's total liability under this Agreement shall not exceed the total fees paid by Client in the three (3) months preceding the claim. Consultant is not liable for indirect, incidental, or consequential damages.</w:t>
      </w:r>
    </w:p>
    <w:p>
      <w:pPr>
        <w:spacing w:after="200" w:before="0"/>
      </w:pPr>
      <w:r>
        <w:t xml:space="preserve"/>
      </w:r>
    </w:p>
    <w:p>
      <w:pPr>
        <w:spacing w:after="80" w:before="300"/>
      </w:pPr>
      <w:r>
        <w:rPr>
          <w:rFonts w:ascii="Arial" w:cs="Arial" w:eastAsia="Arial" w:hAnsi="Arial"/>
          <w:b/>
          <w:bCs/>
          <w:caps/>
          <w:color w:val="059669"/>
          <w:spacing w:val="120"/>
          <w:sz w:val="16"/>
          <w:szCs w:val="16"/>
        </w:rPr>
        <w:t xml:space="preserve">9. Dispute Resolution</w:t>
      </w:r>
    </w:p>
    <w:p>
      <w:pPr>
        <w:spacing w:after="80" w:before="0"/>
        <w:jc w:val="left"/>
      </w:pPr>
      <w:r>
        <w:rPr>
          <w:rFonts w:ascii="Arial" w:cs="Arial" w:eastAsia="Arial" w:hAnsi="Arial"/>
          <w:b w:val="false"/>
          <w:bCs w:val="false"/>
          <w:i w:val="false"/>
          <w:iCs w:val="false"/>
          <w:color w:val="1C1917"/>
          <w:sz w:val="21"/>
          <w:szCs w:val="21"/>
        </w:rPr>
        <w:t xml:space="preserve">The parties agree to attempt to resolve any dispute through good-faith negotiation before pursuing legal action. If unresolved, disputes shall be submitted to binding arbitration in [STATE] under the rules of the American Arbitration Association. This Agreement is governed by the laws of the State of [STATE].</w:t>
      </w:r>
    </w:p>
    <w:p>
      <w:pPr>
        <w:spacing w:after="200" w:before="0"/>
      </w:pPr>
      <w:r>
        <w:t xml:space="preserve"/>
      </w:r>
    </w:p>
    <w:p>
      <w:pPr>
        <w:spacing w:after="80" w:before="300"/>
      </w:pPr>
      <w:r>
        <w:rPr>
          <w:rFonts w:ascii="Arial" w:cs="Arial" w:eastAsia="Arial" w:hAnsi="Arial"/>
          <w:b/>
          <w:bCs/>
          <w:caps/>
          <w:color w:val="059669"/>
          <w:spacing w:val="120"/>
          <w:sz w:val="16"/>
          <w:szCs w:val="16"/>
        </w:rPr>
        <w:t xml:space="preserve">10. Entire Agreement</w:t>
      </w:r>
    </w:p>
    <w:p>
      <w:pPr>
        <w:spacing w:after="80" w:before="0"/>
        <w:jc w:val="left"/>
      </w:pPr>
      <w:r>
        <w:rPr>
          <w:rFonts w:ascii="Arial" w:cs="Arial" w:eastAsia="Arial" w:hAnsi="Arial"/>
          <w:b w:val="false"/>
          <w:bCs w:val="false"/>
          <w:i w:val="false"/>
          <w:iCs w:val="false"/>
          <w:color w:val="1C1917"/>
          <w:sz w:val="21"/>
          <w:szCs w:val="21"/>
        </w:rPr>
        <w:t xml:space="preserve">This Agreement, together with any Statements of Work or Exhibits, constitutes the entire agreement between the parties and supersedes all prior discussions or agreements relating to the subject matter herein.</w:t>
      </w:r>
    </w:p>
    <w:p>
      <w:pPr>
        <w:spacing w:after="400" w:before="0"/>
      </w:pPr>
      <w:r>
        <w:t xml:space="preserve"/>
      </w:r>
    </w:p>
    <w:p>
      <w:pPr>
        <w:spacing w:after="80" w:before="300"/>
      </w:pPr>
      <w:r>
        <w:rPr>
          <w:rFonts w:ascii="Arial" w:cs="Arial" w:eastAsia="Arial" w:hAnsi="Arial"/>
          <w:b/>
          <w:bCs/>
          <w:caps/>
          <w:color w:val="059669"/>
          <w:spacing w:val="120"/>
          <w:sz w:val="16"/>
          <w:szCs w:val="16"/>
        </w:rPr>
        <w:t xml:space="preserve">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left w:val="none"/>
              <w:bottom w:val="none"/>
              <w:right w:val="none"/>
            </w:tcBorders>
          </w:tcPr>
          <w:p>
            <w:pPr>
              <w:spacing w:after="120" w:before="0"/>
            </w:pPr>
            <w:r>
              <w:rPr>
                <w:rFonts w:ascii="Arial" w:cs="Arial" w:eastAsia="Arial" w:hAnsi="Arial"/>
                <w:b/>
                <w:bCs/>
                <w:caps/>
                <w:color w:val="059669"/>
                <w:spacing w:val="80"/>
                <w:sz w:val="18"/>
                <w:szCs w:val="18"/>
              </w:rPr>
              <w:t xml:space="preserve">CONSULTANT</w:t>
            </w:r>
          </w:p>
          <w:p>
            <w:pPr>
              <w:pBdr>
                <w:bottom w:val="single" w:color="D6CFC6" w:sz="4"/>
              </w:pBdr>
              <w:spacing w:after="60" w:before="0"/>
            </w:pPr>
            <w:r>
              <w:rPr>
                <w:rFonts w:ascii="Arial" w:cs="Arial" w:eastAsia="Arial" w:hAnsi="Arial"/>
                <w:sz w:val="36"/>
                <w:szCs w:val="36"/>
              </w:rPr>
              <w:t xml:space="preserve"> </w:t>
            </w:r>
          </w:p>
          <w:p>
            <w:pPr>
              <w:spacing w:after="0" w:before="60"/>
            </w:pPr>
            <w:r>
              <w:rPr>
                <w:rFonts w:ascii="Arial" w:cs="Arial" w:eastAsia="Arial" w:hAnsi="Arial"/>
                <w:b/>
                <w:bCs/>
                <w:color w:val="1C1917"/>
                <w:sz w:val="21"/>
                <w:szCs w:val="21"/>
              </w:rPr>
              <w:t xml:space="preserve">Enam Egyir</w:t>
            </w:r>
          </w:p>
          <w:p>
            <w:pPr>
              <w:spacing w:after="0" w:before="0"/>
            </w:pPr>
            <w:r>
              <w:rPr>
                <w:rFonts w:ascii="Arial" w:cs="Arial" w:eastAsia="Arial" w:hAnsi="Arial"/>
                <w:color w:val="78716C"/>
                <w:sz w:val="20"/>
                <w:szCs w:val="20"/>
              </w:rPr>
              <w:t xml:space="preserve">Founder, Doxa &amp; Co</w:t>
            </w:r>
          </w:p>
          <w:p>
            <w:pPr>
              <w:spacing w:after="0" w:before="60"/>
            </w:pPr>
            <w:r>
              <w:rPr>
                <w:rFonts w:ascii="Arial" w:cs="Arial" w:eastAsia="Arial" w:hAnsi="Arial"/>
                <w:color w:val="78716C"/>
                <w:sz w:val="20"/>
                <w:szCs w:val="20"/>
              </w:rPr>
              <w:t xml:space="preserve">Date: _______________</w:t>
            </w:r>
          </w:p>
        </w:tc>
        <w:tc>
          <w:tcPr>
            <w:tcW w:type="dxa" w:w="360"/>
            <w:tcBorders>
              <w:top w:val="none"/>
              <w:left w:val="none"/>
              <w:bottom w:val="none"/>
              <w:right w:val="none"/>
            </w:tcBorders>
          </w:tcPr>
          <w:p/>
        </w:tc>
        <w:tc>
          <w:tcPr>
            <w:tcW w:type="dxa" w:w="4500"/>
            <w:tcBorders>
              <w:top w:val="none"/>
              <w:left w:val="none"/>
              <w:bottom w:val="none"/>
              <w:right w:val="none"/>
            </w:tcBorders>
          </w:tcPr>
          <w:p>
            <w:pPr>
              <w:spacing w:after="120" w:before="0"/>
            </w:pPr>
            <w:r>
              <w:rPr>
                <w:rFonts w:ascii="Arial" w:cs="Arial" w:eastAsia="Arial" w:hAnsi="Arial"/>
                <w:b/>
                <w:bCs/>
                <w:caps/>
                <w:color w:val="059669"/>
                <w:spacing w:val="80"/>
                <w:sz w:val="18"/>
                <w:szCs w:val="18"/>
              </w:rPr>
              <w:t xml:space="preserve">CLIENT</w:t>
            </w:r>
          </w:p>
          <w:p>
            <w:pPr>
              <w:pBdr>
                <w:bottom w:val="single" w:color="D6CFC6" w:sz="4"/>
              </w:pBdr>
              <w:spacing w:after="60" w:before="0"/>
            </w:pPr>
            <w:r>
              <w:rPr>
                <w:rFonts w:ascii="Arial" w:cs="Arial" w:eastAsia="Arial" w:hAnsi="Arial"/>
                <w:sz w:val="36"/>
                <w:szCs w:val="36"/>
              </w:rPr>
              <w:t xml:space="preserve"> </w:t>
            </w:r>
          </w:p>
          <w:p>
            <w:pPr>
              <w:spacing w:after="0" w:before="60"/>
            </w:pPr>
            <w:r>
              <w:rPr>
                <w:rFonts w:ascii="Arial" w:cs="Arial" w:eastAsia="Arial" w:hAnsi="Arial"/>
                <w:b/>
                <w:bCs/>
                <w:color w:val="1C1917"/>
                <w:sz w:val="21"/>
                <w:szCs w:val="21"/>
              </w:rPr>
              <w:t xml:space="preserve">[Client Name]</w:t>
            </w:r>
          </w:p>
          <w:p>
            <w:pPr>
              <w:spacing w:after="0" w:before="0"/>
            </w:pPr>
            <w:r>
              <w:rPr>
                <w:rFonts w:ascii="Arial" w:cs="Arial" w:eastAsia="Arial" w:hAnsi="Arial"/>
                <w:color w:val="78716C"/>
                <w:sz w:val="20"/>
                <w:szCs w:val="20"/>
              </w:rPr>
              <w:t xml:space="preserve">[Title, Company]</w:t>
            </w:r>
          </w:p>
          <w:p>
            <w:pPr>
              <w:spacing w:after="0" w:before="60"/>
            </w:pPr>
            <w:r>
              <w:rPr>
                <w:rFonts w:ascii="Arial" w:cs="Arial" w:eastAsia="Arial" w:hAnsi="Arial"/>
                <w:color w:val="78716C"/>
                <w:sz w:val="20"/>
                <w:szCs w:val="20"/>
              </w:rPr>
              <w:t xml:space="preserve">Date: _______________</w:t>
            </w:r>
          </w:p>
        </w:tc>
      </w:tr>
    </w:tbl>
    <w:sectPr>
      <w:headerReference w:type="default" r:id="rId7"/>
      <w:footerReference w:type="default" r:id="rId8"/>
      <w:pgSz w:w="12240" w:h="15840" w:orient="portrait"/>
      <w:pgMar w:top="144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CFC6" w:sz="4" w:space="4"/>
      </w:pBdr>
      <w:tabs>
        <w:tab w:val="center" w:pos="4680"/>
        <w:tab w:val="right" w:pos="9360"/>
      </w:tabs>
      <w:spacing w:after="0" w:before="60"/>
    </w:pPr>
    <w:r>
      <w:rPr>
        <w:rFonts w:ascii="Arial" w:cs="Arial" w:eastAsia="Arial" w:hAnsi="Arial"/>
        <w:color w:val="78716C"/>
        <w:sz w:val="16"/>
        <w:szCs w:val="16"/>
      </w:rPr>
      <w:t xml:space="preserve">Doxa &amp; Co  ·  doxaandco.co</w:t>
    </w:r>
    <w:r>
      <w:rPr>
        <w:rFonts w:ascii="Arial" w:cs="Arial" w:eastAsia="Arial" w:hAnsi="Arial"/>
        <w:sz w:val="16"/>
        <w:szCs w:val="16"/>
      </w:rPr>
      <w:t xml:space="preserve">	</w:t>
    </w:r>
    <w:r>
      <w:rPr>
        <w:rFonts w:ascii="Arial" w:cs="Arial" w:eastAsia="Arial" w:hAnsi="Arial"/>
        <w:i/>
        <w:iCs/>
        <w:color w:val="78716C"/>
        <w:sz w:val="16"/>
        <w:szCs w:val="16"/>
      </w:rPr>
      <w:t xml:space="preserve">Consulting Agreement</w:t>
    </w:r>
    <w:r>
      <w:rPr>
        <w:rFonts w:ascii="Arial" w:cs="Arial" w:eastAsia="Arial" w:hAnsi="Arial"/>
        <w:sz w:val="16"/>
        <w:szCs w:val="16"/>
      </w:rPr>
      <w:t xml:space="preserve">	</w:t>
    </w:r>
    <w:r>
      <w:rPr>
        <w:rFonts w:ascii="Arial" w:cs="Arial" w:eastAsia="Arial" w:hAnsi="Arial"/>
        <w:color w:val="78716C"/>
        <w:sz w:val="16"/>
        <w:szCs w:val="16"/>
      </w:rPr>
      <w:t xml:space="preserve">Page </w:t>
    </w:r>
    <w:r>
      <w:rPr>
        <w:rFonts w:ascii="Arial" w:cs="Arial" w:eastAsia="Arial" w:hAnsi="Arial"/>
        <w:color w:val="78716C"/>
        <w:sz w:val="16"/>
        <w:szCs w:val="16"/>
      </w:rPr>
      <w:fldChar w:fldCharType="begin"/>
    </w:r>
    <w:r>
      <w:rPr>
        <w:rFonts w:ascii="Arial" w:cs="Arial" w:eastAsia="Arial" w:hAnsi="Arial"/>
        <w:color w:val="78716C"/>
        <w:sz w:val="16"/>
        <w:szCs w:val="16"/>
      </w:rPr>
      <w:instrText xml:space="preserve"> PAGE </w:instrText>
    </w:r>
    <w:r>
      <w:rPr>
        <w:rFonts w:ascii="Arial" w:cs="Arial" w:eastAsia="Arial" w:hAnsi="Arial"/>
        <w:color w:val="78716C"/>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59669" w:sz="4" w:space="4"/>
      </w:pBdr>
      <w:spacing w:after="60" w:before="0"/>
      <w:jc w:val="left"/>
    </w:pPr>
    <w:r>
      <w:drawing>
        <wp:inline distT="0" distB="0" distL="0" distR="0">
          <wp:extent cx="1895475"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895475" cy="3714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8040cdcde42e59c4939708f1cc3b64aa64a42a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2026-04-11T06:38:26.707Z</dcterms:created>
  <dcterms:modified xsi:type="dcterms:W3CDTF">2026-04-11T06:38:26.707Z</dcterms:modified>
</cp:coreProperties>
</file>

<file path=docProps/custom.xml><?xml version="1.0" encoding="utf-8"?>
<Properties xmlns="http://schemas.openxmlformats.org/officeDocument/2006/custom-properties" xmlns:vt="http://schemas.openxmlformats.org/officeDocument/2006/docPropsVTypes"/>
</file>