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aps/>
          <w:color w:val="1C1917"/>
          <w:spacing w:val="200"/>
          <w:sz w:val="36"/>
          <w:szCs w:val="36"/>
        </w:rPr>
        <w:t xml:space="preserve">SERVICES &amp; PRICING</w:t>
      </w:r>
    </w:p>
    <w:p>
      <w:pPr>
        <w:spacing w:after="60" w:before="0"/>
      </w:pPr>
      <w:r>
        <w:rPr>
          <w:rFonts w:ascii="Arial" w:cs="Arial" w:eastAsia="Arial" w:hAnsi="Arial"/>
          <w:color w:val="059669"/>
          <w:sz w:val="21"/>
          <w:szCs w:val="21"/>
        </w:rPr>
        <w:t xml:space="preserve">Enterprise Technology Consulting  ·  Strategy · Product · Delivery</w:t>
      </w:r>
    </w:p>
    <w:p>
      <w:pPr>
        <w:pBdr>
          <w:bottom w:val="single" w:color="059669" w:sz="8" w:space="1"/>
        </w:pBdr>
        <w:spacing w:after="120" w:before="0"/>
      </w:pPr>
    </w:p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Entry &amp;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WHAT YOU GET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INVESTMENT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General Inquiry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Initial conversation to explore fit — no agenda, no pitch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No commitment required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Fractional PO Discovery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Structured 30-min session to assess Fractional PO fit and scope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Qualifying call only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Strategy Session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60-min deep-dive on product roadmap, team structure, or go-to-market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Credited toward any paid engagement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$250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AI Advisory Session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60-min session focused on AI integration, tooling, or strategy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Credited toward any paid engagement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$250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MVP Planning Session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60-min scoped session on MVP scope, prioritization &amp; build path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Credited toward build engagement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$250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Core Consulting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WHAT YOU GET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INVESTMENT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Product Audit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Full review of product strategy, backlog, team, and delivery process. Written report + prioritized action plan.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Delivered in 5–10 business days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$2,500–$5,000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Clarity Sprint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5-day intensive: discovery → diagnosis → roadmap. Outcome: a clear 90-day execution plan.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Teams of up to 6 stakeholders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$4,500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Fractional Product Owner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Embedded PO leadership — backlog ownership, sprint facilitation, stakeholder alignment.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Minimum 3-month engagement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$6,000–$10,000/mo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AI Integration Consulting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Strategy + implementation support to embed AI tools into your product or workflow.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Scope-dependent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$3,500–$8,000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MVP Build Advisory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End-to-end advisory for founders building their first product — from spec to launch.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Retainer or milestone-based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$5,000–$12,000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Ongoing Retainer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WHAT YOU GET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INVESTMENT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Strategic Advisor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2 sessions/month + async Slack/email support + document reviews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Month-to-month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$2,000/mo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Embedded Fractional PO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Full PO function — daily/weekly involvement depending on scope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3-month minimum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$6,000–$10,000/mo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1"/>
                <w:szCs w:val="21"/>
              </w:rPr>
              <w:t xml:space="preserve">On-Call Advisory</w:t>
            </w:r>
          </w:p>
        </w:tc>
        <w:tc>
          <w:tcPr>
            <w:tcW w:type="dxa" w:w="40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Priority access for questions, reviews, and quick decisions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78716C"/>
                <w:sz w:val="18"/>
                <w:szCs w:val="18"/>
              </w:rPr>
              <w:t xml:space="preserve">4 hours included</w:t>
            </w:r>
          </w:p>
        </w:tc>
        <w:tc>
          <w:tcPr>
            <w:tcW w:type="dxa" w:w="256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$1,200/mo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Engagement Notes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All strategy session fees ($250) are credited in full toward any paid project or retainer initiated within 60 days.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Proposals are provided at no cost following a qualifying discovery or strategy session.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Retainer engagements are invoiced on the 1st of each month. Project-based work is invoiced 50% upfront, 50% on delivery.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Rush timelines (under 5 business days) may incur a 20% expedite fee.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All engagements include a written scope of work and signed agreement before work begins.</w:t>
      </w:r>
    </w:p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Pricing effective April 2025. Subject to revision with 30 days notice for ongoing clients.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CFC6" w:sz="4" w:space="4"/>
      </w:pBdr>
      <w:tabs>
        <w:tab w:val="center" w:pos="4680"/>
        <w:tab w:val="right" w:pos="9360"/>
      </w:tabs>
      <w:spacing w:after="0" w:before="60"/>
    </w:pPr>
    <w:r>
      <w:rPr>
        <w:rFonts w:ascii="Arial" w:cs="Arial" w:eastAsia="Arial" w:hAnsi="Arial"/>
        <w:color w:val="78716C"/>
        <w:sz w:val="16"/>
        <w:szCs w:val="16"/>
      </w:rPr>
      <w:t xml:space="preserve">Doxa &amp; Co  ·  doxaandco.co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8716C"/>
        <w:sz w:val="16"/>
        <w:szCs w:val="16"/>
      </w:rPr>
      <w:t xml:space="preserve">Services &amp; Pricing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8716C"/>
        <w:sz w:val="16"/>
        <w:szCs w:val="16"/>
      </w:rPr>
      <w:t xml:space="preserve">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</w:r>
    <w:r>
      <w:rPr>
        <w:rFonts w:ascii="Arial" w:cs="Arial" w:eastAsia="Arial" w:hAnsi="Arial"/>
        <w:color w:val="78716C"/>
        <w:sz w:val="16"/>
        <w:szCs w:val="16"/>
      </w:rPr>
      <w:instrText xml:space="preserve"> PAGE </w:instrText>
    </w:r>
    <w:r>
      <w:rPr>
        <w:rFonts w:ascii="Arial" w:cs="Arial" w:eastAsia="Arial" w:hAnsi="Arial"/>
        <w:color w:val="78716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spacing w:after="60" w:before="0"/>
      <w:jc w:val="left"/>
    </w:pPr>
    <w:r>
      <w:drawing>
        <wp:inline distT="0" distB="0" distL="0" distR="0">
          <wp:extent cx="1895475" cy="3714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8040cdcde42e59c4939708f1cc3b64aa64a42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2026-04-11T06:38:26.605Z</dcterms:created>
  <dcterms:modified xsi:type="dcterms:W3CDTF">2026-04-11T06:38:26.605Z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