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746"/>
      </w:tblGrid>
      <w:tr>
        <w:tc>
          <w:tcPr>
            <w:tcW w:type="dxa" w:w="9360"/>
            <w:shd w:val="clear" w:color="auto" w:fill="1C1917"/>
          </w:tcPr>
          <w:p>
            <w:pPr>
              <w:spacing w:before="120" w:after="40"/>
              <w:jc w:val="center"/>
            </w:pPr>
            <w:r>
              <w:rPr>
                <w:rFonts w:ascii="Calibri" w:hAnsi="Calibri"/>
                <w:b/>
                <w:color w:val="FFFFFF"/>
                <w:sz w:val="32"/>
              </w:rPr>
              <w:t>DOXA &amp; CO  —  AUTOMATION DISCOVERY INTERVIEW GUIDE</w:t>
            </w:r>
          </w:p>
          <w:p>
            <w:pPr>
              <w:spacing w:after="120"/>
              <w:jc w:val="center"/>
            </w:pPr>
            <w:r>
              <w:rPr>
                <w:rFonts w:ascii="Calibri" w:hAnsi="Calibri"/>
                <w:i/>
                <w:color w:val="FFFFFF"/>
                <w:sz w:val="20"/>
              </w:rPr>
              <w:t>Use this script to conduct client intake sessions and populate the Assessment Tool</w:t>
            </w:r>
          </w:p>
        </w:tc>
      </w:tr>
    </w:tbl>
    <w:p>
      <w:pPr>
        <w:spacing w:after="80"/>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C1917"/>
          </w:tcPr>
          <w:p>
            <w:pPr>
              <w:spacing w:before="60" w:after="60"/>
            </w:pPr>
            <w:r>
              <w:rPr>
                <w:rFonts w:ascii="Calibri" w:hAnsi="Calibri"/>
                <w:b/>
                <w:color w:val="FFFFFF"/>
                <w:sz w:val="18"/>
              </w:rPr>
              <w:t>Client / Company</w:t>
            </w:r>
          </w:p>
        </w:tc>
        <w:tc>
          <w:tcPr>
            <w:tcW w:type="dxa" w:w="2436"/>
            <w:shd w:val="clear" w:color="auto" w:fill="1C1917"/>
          </w:tcPr>
          <w:p>
            <w:pPr>
              <w:spacing w:before="60" w:after="60"/>
            </w:pPr>
            <w:r>
              <w:rPr>
                <w:rFonts w:ascii="Calibri" w:hAnsi="Calibri"/>
                <w:b/>
                <w:color w:val="FFFFFF"/>
                <w:sz w:val="18"/>
              </w:rPr>
              <w:t>Process Name</w:t>
            </w:r>
          </w:p>
        </w:tc>
        <w:tc>
          <w:tcPr>
            <w:tcW w:type="dxa" w:w="2436"/>
            <w:shd w:val="clear" w:color="auto" w:fill="1C1917"/>
          </w:tcPr>
          <w:p>
            <w:pPr>
              <w:spacing w:before="60" w:after="60"/>
            </w:pPr>
            <w:r>
              <w:rPr>
                <w:rFonts w:ascii="Calibri" w:hAnsi="Calibri"/>
                <w:b/>
                <w:color w:val="FFFFFF"/>
                <w:sz w:val="18"/>
              </w:rPr>
              <w:t>Doxa Assessor</w:t>
            </w:r>
          </w:p>
        </w:tc>
        <w:tc>
          <w:tcPr>
            <w:tcW w:type="dxa" w:w="2436"/>
            <w:shd w:val="clear" w:color="auto" w:fill="1C1917"/>
          </w:tcPr>
          <w:p>
            <w:pPr>
              <w:spacing w:before="60" w:after="60"/>
            </w:pPr>
            <w:r>
              <w:rPr>
                <w:rFonts w:ascii="Calibri" w:hAnsi="Calibri"/>
                <w:b/>
                <w:color w:val="FFFFFF"/>
                <w:sz w:val="18"/>
              </w:rPr>
              <w:t>Date</w:t>
            </w:r>
          </w:p>
        </w:tc>
      </w:tr>
      <w:tr>
        <w:tc>
          <w:tcPr>
            <w:tcW w:type="dxa" w:w="2436"/>
            <w:shd w:val="clear" w:color="auto" w:fill="F0FDF4"/>
          </w:tcPr>
          <w:p>
            <w:pPr>
              <w:spacing w:before="320" w:after="320"/>
            </w:pPr>
          </w:p>
        </w:tc>
        <w:tc>
          <w:tcPr>
            <w:tcW w:type="dxa" w:w="2436"/>
            <w:shd w:val="clear" w:color="auto" w:fill="F0FDF4"/>
          </w:tcPr>
          <w:p>
            <w:pPr>
              <w:spacing w:before="320" w:after="320"/>
            </w:pPr>
          </w:p>
        </w:tc>
        <w:tc>
          <w:tcPr>
            <w:tcW w:type="dxa" w:w="2436"/>
            <w:shd w:val="clear" w:color="auto" w:fill="F0FDF4"/>
          </w:tcPr>
          <w:p>
            <w:pPr>
              <w:spacing w:before="320" w:after="320"/>
            </w:pPr>
          </w:p>
        </w:tc>
        <w:tc>
          <w:tcPr>
            <w:tcW w:type="dxa" w:w="2436"/>
            <w:shd w:val="clear" w:color="auto" w:fill="F0FDF4"/>
          </w:tcPr>
          <w:p>
            <w:pPr>
              <w:spacing w:before="320" w:after="320"/>
            </w:pPr>
          </w:p>
        </w:tc>
      </w:tr>
    </w:tbl>
    <w:p>
      <w:pPr>
        <w:spacing w:after="120"/>
      </w:pPr>
    </w:p>
    <w:tbl>
      <w:tblPr>
        <w:tblStyle w:val="TableGrid"/>
        <w:tblW w:type="auto" w:w="0"/>
        <w:tblLook w:firstColumn="1" w:firstRow="1" w:lastColumn="0" w:lastRow="0" w:noHBand="0" w:noVBand="1" w:val="04A0"/>
      </w:tblPr>
      <w:tblGrid>
        <w:gridCol w:w="9746"/>
      </w:tblGrid>
      <w:tr>
        <w:tc>
          <w:tcPr>
            <w:tcW w:type="dxa" w:w="9746"/>
            <w:shd w:val="clear" w:color="auto" w:fill="F4F5F7"/>
          </w:tcPr>
          <w:p>
            <w:pPr>
              <w:spacing w:before="100"/>
            </w:pPr>
            <w:r>
              <w:rPr>
                <w:rFonts w:ascii="Calibri" w:hAnsi="Calibri"/>
                <w:b/>
                <w:color w:val="1C1917"/>
                <w:sz w:val="22"/>
              </w:rPr>
              <w:t>HOW TO USE THIS GUIDE</w:t>
            </w:r>
          </w:p>
          <w:p>
            <w:pPr>
              <w:spacing w:after="40"/>
            </w:pPr>
            <w:r>
              <w:rPr>
                <w:rFonts w:ascii="Calibri" w:hAnsi="Calibri"/>
                <w:color w:val="1C1917"/>
                <w:sz w:val="18"/>
              </w:rPr>
              <w:t xml:space="preserve">  •  Read each question aloud to the client exactly as written.</w:t>
            </w:r>
          </w:p>
          <w:p>
            <w:pPr>
              <w:spacing w:after="40"/>
            </w:pPr>
            <w:r>
              <w:rPr>
                <w:rFonts w:ascii="Calibri" w:hAnsi="Calibri"/>
                <w:color w:val="1C1917"/>
                <w:sz w:val="18"/>
              </w:rPr>
              <w:t xml:space="preserve">  •  Capture their answers in the yellow Answer boxes (or type directly into the companion Excel tool).</w:t>
            </w:r>
          </w:p>
          <w:p>
            <w:pPr>
              <w:spacing w:after="40"/>
            </w:pPr>
            <w:r>
              <w:rPr>
                <w:rFonts w:ascii="Calibri" w:hAnsi="Calibri"/>
                <w:color w:val="1C1917"/>
                <w:sz w:val="18"/>
              </w:rPr>
              <w:t xml:space="preserve">  •  Use the EXAMPLE boxes to prompt the client if they're unsure.</w:t>
            </w:r>
          </w:p>
          <w:p>
            <w:pPr>
              <w:spacing w:after="40"/>
            </w:pPr>
            <w:r>
              <w:rPr>
                <w:rFonts w:ascii="Calibri" w:hAnsi="Calibri"/>
                <w:color w:val="1C1917"/>
                <w:sz w:val="18"/>
              </w:rPr>
              <w:t xml:space="preserve">  •  After the session, transfer answers to the ASSESSMENT tab of Doxa_Automation_Assessment_Tool.xlsx.</w:t>
            </w:r>
          </w:p>
          <w:p>
            <w:pPr>
              <w:spacing w:after="40"/>
            </w:pPr>
            <w:r>
              <w:rPr>
                <w:rFonts w:ascii="Calibri" w:hAnsi="Calibri"/>
                <w:color w:val="1C1917"/>
                <w:sz w:val="18"/>
              </w:rPr>
              <w:t xml:space="preserve">  •  Review the RESULTS &amp; RECOMMENDATIONS tab for Doxa's suggested approach and ROI estimate.</w:t>
            </w:r>
          </w:p>
          <w:p>
            <w:pPr>
              <w:spacing w:after="80"/>
            </w:pPr>
          </w:p>
        </w:tc>
      </w:tr>
    </w:tbl>
    <w:p>
      <w:pPr>
        <w:spacing w:after="12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OPENER  —  Set the stage (2–3 min)</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CCFBF1"/>
          </w:tcPr>
          <w:p>
            <w:pPr>
              <w:spacing w:before="100" w:after="100"/>
            </w:pPr>
            <w:r>
              <w:rPr>
                <w:rFonts w:ascii="Calibri" w:hAnsi="Calibri"/>
                <w:b/>
                <w:color w:val="0F766E"/>
                <w:sz w:val="18"/>
              </w:rPr>
              <w:t xml:space="preserve">ASSESSOR SCRIPT  </w:t>
            </w:r>
            <w:r>
              <w:rPr>
                <w:rFonts w:ascii="Calibri" w:hAnsi="Calibri"/>
                <w:i/>
                <w:color w:val="0F766E"/>
                <w:sz w:val="18"/>
              </w:rPr>
              <w:t>"Thanks for your time today. I'm [Name] from Doxa &amp; Co. We help organizations figure out which processes are good candidates for automation — and what that automation should actually look like. I'm going to ask you about a specific process or task. There are no right or wrong answers. The goal is just to understand how the work gets done today so we can give you an honest recommendation. Does that sound good?"</w:t>
            </w:r>
          </w:p>
        </w:tc>
      </w:tr>
    </w:tbl>
    <w:p>
      <w:pPr>
        <w:spacing w:after="8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Q0</w:t>
            </w:r>
          </w:p>
        </w:tc>
        <w:tc>
          <w:tcPr>
            <w:tcW w:type="dxa" w:w="3249"/>
            <w:shd w:val="clear" w:color="auto" w:fill="FFFFFF"/>
          </w:tcPr>
          <w:p>
            <w:pPr>
              <w:spacing w:before="60" w:after="20"/>
            </w:pPr>
            <w:r>
              <w:rPr>
                <w:rFonts w:ascii="Calibri" w:hAnsi="Calibri"/>
                <w:b/>
                <w:color w:val="1C1917"/>
                <w:sz w:val="20"/>
              </w:rPr>
              <w:t>Can you start by telling me a bit about yourself — your role and what your team does?</w:t>
            </w:r>
          </w:p>
          <w:p>
            <w:pPr>
              <w:spacing w:before="40" w:after="60"/>
            </w:pPr>
            <w:r>
              <w:rPr>
                <w:rFonts w:ascii="Calibri" w:hAnsi="Calibri"/>
                <w:i/>
                <w:color w:val="78716C"/>
                <w:sz w:val="17"/>
              </w:rPr>
              <w:t>Get the person comfortable. Note: department, team size, seniority. 1–2 min max.</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ECFDF5"/>
          </w:tcPr>
          <w:p>
            <w:pPr>
              <w:spacing w:before="60" w:after="60"/>
            </w:pPr>
            <w:r>
              <w:rPr>
                <w:rFonts w:ascii="Calibri" w:hAnsi="Calibri"/>
                <w:b/>
                <w:color w:val="047857"/>
                <w:sz w:val="18"/>
              </w:rPr>
              <w:t xml:space="preserve">TIP  </w:t>
            </w:r>
            <w:r>
              <w:rPr>
                <w:rFonts w:ascii="Calibri" w:hAnsi="Calibri"/>
                <w:color w:val="047857"/>
                <w:sz w:val="18"/>
              </w:rPr>
              <w:t>Listen for: who really owns the process vs. who just runs it. You want the process owner, not just an executor.</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SECTION A  —  Process Basics</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A1</w:t>
            </w:r>
          </w:p>
        </w:tc>
        <w:tc>
          <w:tcPr>
            <w:tcW w:type="dxa" w:w="3249"/>
            <w:shd w:val="clear" w:color="auto" w:fill="FFFFFF"/>
          </w:tcPr>
          <w:p>
            <w:pPr>
              <w:spacing w:before="60" w:after="20"/>
            </w:pPr>
            <w:r>
              <w:rPr>
                <w:rFonts w:ascii="Calibri" w:hAnsi="Calibri"/>
                <w:b/>
                <w:color w:val="1C1917"/>
                <w:sz w:val="20"/>
              </w:rPr>
              <w:t>What is the name of the process we're talking about today?</w:t>
            </w:r>
          </w:p>
          <w:p>
            <w:pPr>
              <w:spacing w:before="40" w:after="60"/>
            </w:pPr>
            <w:r>
              <w:rPr>
                <w:rFonts w:ascii="Calibri" w:hAnsi="Calibri"/>
                <w:i/>
                <w:color w:val="78716C"/>
                <w:sz w:val="17"/>
              </w:rPr>
              <w:t>Ask them to give it a name — helps scope the conversation.</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A2</w:t>
            </w:r>
          </w:p>
        </w:tc>
        <w:tc>
          <w:tcPr>
            <w:tcW w:type="dxa" w:w="3249"/>
            <w:shd w:val="clear" w:color="auto" w:fill="FFFFFF"/>
          </w:tcPr>
          <w:p>
            <w:pPr>
              <w:spacing w:before="60" w:after="20"/>
            </w:pPr>
            <w:r>
              <w:rPr>
                <w:rFonts w:ascii="Calibri" w:hAnsi="Calibri"/>
                <w:b/>
                <w:color w:val="1C1917"/>
                <w:sz w:val="20"/>
              </w:rPr>
              <w:t>Walk me through the process from start to finish. What happens first — and what does 'done' look like?</w:t>
            </w:r>
          </w:p>
          <w:p>
            <w:pPr>
              <w:spacing w:before="40" w:after="60"/>
            </w:pPr>
            <w:r>
              <w:rPr>
                <w:rFonts w:ascii="Calibri" w:hAnsi="Calibri"/>
                <w:i/>
                <w:color w:val="78716C"/>
                <w:sz w:val="17"/>
              </w:rPr>
              <w:t>Let them describe in their own words. Note: steps, handoffs, systems mentioned.</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EXAMPLE  </w:t>
            </w:r>
            <w:r>
              <w:rPr>
                <w:rFonts w:ascii="Calibri" w:hAnsi="Calibri"/>
                <w:i/>
                <w:color w:val="0F766E"/>
                <w:sz w:val="18"/>
              </w:rPr>
              <w:t>Jamie (HR): 'It starts when a new hire is confirmed — I get a notification from the ATS. Then I manually enter their details into our HRIS, set up their email, add them to the company directory, and send them an onboarding checklist. Done means they've received all their login credentials and their first-day agenda.'</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A3</w:t>
            </w:r>
          </w:p>
        </w:tc>
        <w:tc>
          <w:tcPr>
            <w:tcW w:type="dxa" w:w="3249"/>
            <w:shd w:val="clear" w:color="auto" w:fill="FFFFFF"/>
          </w:tcPr>
          <w:p>
            <w:pPr>
              <w:spacing w:before="60" w:after="20"/>
            </w:pPr>
            <w:r>
              <w:rPr>
                <w:rFonts w:ascii="Calibri" w:hAnsi="Calibri"/>
                <w:b/>
                <w:color w:val="1C1917"/>
                <w:sz w:val="20"/>
              </w:rPr>
              <w:t>Is this process the same every time — same steps, same rules — or does it vary depending on the situation?</w:t>
            </w:r>
          </w:p>
          <w:p>
            <w:pPr>
              <w:spacing w:before="40" w:after="60"/>
            </w:pPr>
            <w:r>
              <w:rPr>
                <w:rFonts w:ascii="Calibri" w:hAnsi="Calibri"/>
                <w:i/>
                <w:color w:val="78716C"/>
                <w:sz w:val="17"/>
              </w:rPr>
              <w:t>Rule-based = same steps every time. Varied = requires judgement or case-by-case decisions.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A4</w:t>
            </w:r>
          </w:p>
        </w:tc>
        <w:tc>
          <w:tcPr>
            <w:tcW w:type="dxa" w:w="3249"/>
            <w:shd w:val="clear" w:color="auto" w:fill="FFFFFF"/>
          </w:tcPr>
          <w:p>
            <w:pPr>
              <w:spacing w:before="60" w:after="20"/>
            </w:pPr>
            <w:r>
              <w:rPr>
                <w:rFonts w:ascii="Calibri" w:hAnsi="Calibri"/>
                <w:b/>
                <w:color w:val="1C1917"/>
                <w:sz w:val="20"/>
              </w:rPr>
              <w:t>Which department does this process belong to? Who is ultimately responsible for it?</w:t>
            </w:r>
          </w:p>
          <w:p>
            <w:pPr>
              <w:spacing w:before="40" w:after="60"/>
            </w:pPr>
            <w:r>
              <w:rPr>
                <w:rFonts w:ascii="Calibri" w:hAnsi="Calibri"/>
                <w:i/>
                <w:color w:val="78716C"/>
                <w:sz w:val="17"/>
              </w:rPr>
              <w:t>Record: department name and process owner's name/title.</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A5</w:t>
            </w:r>
          </w:p>
        </w:tc>
        <w:tc>
          <w:tcPr>
            <w:tcW w:type="dxa" w:w="3249"/>
            <w:shd w:val="clear" w:color="auto" w:fill="FFFFFF"/>
          </w:tcPr>
          <w:p>
            <w:pPr>
              <w:spacing w:before="60" w:after="20"/>
            </w:pPr>
            <w:r>
              <w:rPr>
                <w:rFonts w:ascii="Calibri" w:hAnsi="Calibri"/>
                <w:b/>
                <w:color w:val="1C1917"/>
                <w:sz w:val="20"/>
              </w:rPr>
              <w:t>Which of Doxa's service areas does this relate to? (GRC, Product Build, Fractional PO, AI Advisory, or General)</w:t>
            </w:r>
          </w:p>
          <w:p>
            <w:pPr>
              <w:spacing w:before="40" w:after="60"/>
            </w:pPr>
            <w:r>
              <w:rPr>
                <w:rFonts w:ascii="Calibri" w:hAnsi="Calibri"/>
                <w:i/>
                <w:color w:val="78716C"/>
                <w:sz w:val="17"/>
              </w:rPr>
              <w:t>Match to the engagement type so the recommendation aligns to the right Doxa team.</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SECTION B  —  Feasibility  (Can this be automated?)</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B1</w:t>
            </w:r>
          </w:p>
        </w:tc>
        <w:tc>
          <w:tcPr>
            <w:tcW w:type="dxa" w:w="3249"/>
            <w:shd w:val="clear" w:color="auto" w:fill="FFFFFF"/>
          </w:tcPr>
          <w:p>
            <w:pPr>
              <w:spacing w:before="60" w:after="20"/>
            </w:pPr>
            <w:r>
              <w:rPr>
                <w:rFonts w:ascii="Calibri" w:hAnsi="Calibri"/>
                <w:b/>
                <w:color w:val="1C1917"/>
                <w:sz w:val="20"/>
              </w:rPr>
              <w:t>Where does the work come from? How does the process get triggered, and what form is the input data in?</w:t>
            </w:r>
          </w:p>
          <w:p>
            <w:pPr>
              <w:spacing w:before="40" w:after="60"/>
            </w:pPr>
            <w:r>
              <w:rPr>
                <w:rFonts w:ascii="Calibri" w:hAnsi="Calibri"/>
                <w:i/>
                <w:color w:val="78716C"/>
                <w:sz w:val="17"/>
              </w:rPr>
              <w:t>Digital &amp; Structured = spreadsheets, databases, online forms. Digital &amp; Unstructured = emails, PDFs, free-text. Non-digital = paper forms, phone calls, walk-ups.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EXAMPLE  </w:t>
            </w:r>
            <w:r>
              <w:rPr>
                <w:rFonts w:ascii="Calibri" w:hAnsi="Calibri"/>
                <w:i/>
                <w:color w:val="0F766E"/>
                <w:sz w:val="18"/>
              </w:rPr>
              <w:t>Jamie: 'I get a notification email from the ATS — it has the new hire's details in a standard format, structured fields like name, start date, role, manager.' → Digital and Structured ✓</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B2</w:t>
            </w:r>
          </w:p>
        </w:tc>
        <w:tc>
          <w:tcPr>
            <w:tcW w:type="dxa" w:w="3249"/>
            <w:shd w:val="clear" w:color="auto" w:fill="FFFFFF"/>
          </w:tcPr>
          <w:p>
            <w:pPr>
              <w:spacing w:before="60" w:after="20"/>
            </w:pPr>
            <w:r>
              <w:rPr>
                <w:rFonts w:ascii="Calibri" w:hAnsi="Calibri"/>
                <w:b/>
                <w:color w:val="1C1917"/>
                <w:sz w:val="20"/>
              </w:rPr>
              <w:t>How much will this process change in the next 6 months? Any expected system upgrades, org changes, or regulatory shifts?</w:t>
            </w:r>
          </w:p>
          <w:p>
            <w:pPr>
              <w:spacing w:before="40" w:after="60"/>
            </w:pPr>
            <w:r>
              <w:rPr>
                <w:rFonts w:ascii="Calibri" w:hAnsi="Calibri"/>
                <w:i/>
                <w:color w:val="78716C"/>
                <w:sz w:val="17"/>
              </w:rPr>
              <w:t>Unstable processes are risky to automate — flag if significant changes are coming.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B3</w:t>
            </w:r>
          </w:p>
        </w:tc>
        <w:tc>
          <w:tcPr>
            <w:tcW w:type="dxa" w:w="3249"/>
            <w:shd w:val="clear" w:color="auto" w:fill="FFFFFF"/>
          </w:tcPr>
          <w:p>
            <w:pPr>
              <w:spacing w:before="60" w:after="20"/>
            </w:pPr>
            <w:r>
              <w:rPr>
                <w:rFonts w:ascii="Calibri" w:hAnsi="Calibri"/>
                <w:b/>
                <w:color w:val="1C1917"/>
                <w:sz w:val="20"/>
              </w:rPr>
              <w:t>What about the applications and systems you use — are any of them being upgraded or replaced soon?</w:t>
            </w:r>
          </w:p>
          <w:p>
            <w:pPr>
              <w:spacing w:before="40" w:after="60"/>
            </w:pPr>
            <w:r>
              <w:rPr>
                <w:rFonts w:ascii="Calibri" w:hAnsi="Calibri"/>
                <w:i/>
                <w:color w:val="78716C"/>
                <w:sz w:val="17"/>
              </w:rPr>
              <w:t>System changes can break RPA bots. If a migration is coming, recommend waiting.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B4</w:t>
            </w:r>
          </w:p>
        </w:tc>
        <w:tc>
          <w:tcPr>
            <w:tcW w:type="dxa" w:w="3249"/>
            <w:shd w:val="clear" w:color="auto" w:fill="FFFFFF"/>
          </w:tcPr>
          <w:p>
            <w:pPr>
              <w:spacing w:before="60" w:after="20"/>
            </w:pPr>
            <w:r>
              <w:rPr>
                <w:rFonts w:ascii="Calibri" w:hAnsi="Calibri"/>
                <w:b/>
                <w:color w:val="1C1917"/>
                <w:sz w:val="20"/>
              </w:rPr>
              <w:t>Is this process subject to any compliance or regulatory requirements — audit trails, data privacy, regulatory reporting?</w:t>
            </w:r>
          </w:p>
          <w:p>
            <w:pPr>
              <w:spacing w:before="40" w:after="60"/>
            </w:pPr>
            <w:r>
              <w:rPr>
                <w:rFonts w:ascii="Calibri" w:hAnsi="Calibri"/>
                <w:i/>
                <w:color w:val="78716C"/>
                <w:sz w:val="17"/>
              </w:rPr>
              <w:t>High compliance = factor in audit trail requirements. Points toward GRC tools or custom build with logging.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ECFDF5"/>
          </w:tcPr>
          <w:p>
            <w:pPr>
              <w:spacing w:before="60" w:after="60"/>
            </w:pPr>
            <w:r>
              <w:rPr>
                <w:rFonts w:ascii="Calibri" w:hAnsi="Calibri"/>
                <w:b/>
                <w:color w:val="047857"/>
                <w:sz w:val="18"/>
              </w:rPr>
              <w:t xml:space="preserve">TIP  </w:t>
            </w:r>
            <w:r>
              <w:rPr>
                <w:rFonts w:ascii="Calibri" w:hAnsi="Calibri"/>
                <w:color w:val="047857"/>
                <w:sz w:val="18"/>
              </w:rPr>
              <w:t>If B2 or B3 scores 'Significant change' → flag as POSTPONE. Automate after the dust settles. Say: 'We'd recommend documenting this now and reassessing in 6 months.'</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SECTION C  —  Process Complexity  (How hard is it to automate?)</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C1</w:t>
            </w:r>
          </w:p>
        </w:tc>
        <w:tc>
          <w:tcPr>
            <w:tcW w:type="dxa" w:w="3249"/>
            <w:shd w:val="clear" w:color="auto" w:fill="FFFFFF"/>
          </w:tcPr>
          <w:p>
            <w:pPr>
              <w:spacing w:before="60" w:after="20"/>
            </w:pPr>
            <w:r>
              <w:rPr>
                <w:rFonts w:ascii="Calibri" w:hAnsi="Calibri"/>
                <w:b/>
                <w:color w:val="1C1917"/>
                <w:sz w:val="20"/>
              </w:rPr>
              <w:t>If you had to count the individual steps in this process — each distinct action — roughly how many would there be?</w:t>
            </w:r>
          </w:p>
          <w:p>
            <w:pPr>
              <w:spacing w:before="40" w:after="60"/>
            </w:pPr>
            <w:r>
              <w:rPr>
                <w:rFonts w:ascii="Calibri" w:hAnsi="Calibri"/>
                <w:i/>
                <w:color w:val="78716C"/>
                <w:sz w:val="17"/>
              </w:rPr>
              <w:t>Count: open app, log in, copy field, paste, validate, submit, send email, etc. 1–5 = very simple | 6–10 = simple | 11–20 = moderate | 21+ = complex</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EXAMPLE  </w:t>
            </w:r>
            <w:r>
              <w:rPr>
                <w:rFonts w:ascii="Calibri" w:hAnsi="Calibri"/>
                <w:i/>
                <w:color w:val="0F766E"/>
                <w:sz w:val="18"/>
              </w:rPr>
              <w:t>Jamie: 'About 13 steps — check email, copy details, open HRIS, create profile, assign role, set up email, add to directory, send Slack invite, send checklist...' → 11–20 steps (moderate)</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C2</w:t>
            </w:r>
          </w:p>
        </w:tc>
        <w:tc>
          <w:tcPr>
            <w:tcW w:type="dxa" w:w="3249"/>
            <w:shd w:val="clear" w:color="auto" w:fill="FFFFFF"/>
          </w:tcPr>
          <w:p>
            <w:pPr>
              <w:spacing w:before="60" w:after="20"/>
            </w:pPr>
            <w:r>
              <w:rPr>
                <w:rFonts w:ascii="Calibri" w:hAnsi="Calibri"/>
                <w:b/>
                <w:color w:val="1C1917"/>
                <w:sz w:val="20"/>
              </w:rPr>
              <w:t>Are there decisions in this process — points where you have to choose different paths based on conditions?</w:t>
            </w:r>
          </w:p>
          <w:p>
            <w:pPr>
              <w:spacing w:before="40" w:after="60"/>
            </w:pPr>
            <w:r>
              <w:rPr>
                <w:rFonts w:ascii="Calibri" w:hAnsi="Calibri"/>
                <w:i/>
                <w:color w:val="78716C"/>
                <w:sz w:val="17"/>
              </w:rPr>
              <w:t>Linear = no decisions. Simple = yes/no (e.g. full-time vs contractor). Complex = multiple conditions, exception handling, lookup rules.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C3</w:t>
            </w:r>
          </w:p>
        </w:tc>
        <w:tc>
          <w:tcPr>
            <w:tcW w:type="dxa" w:w="3249"/>
            <w:shd w:val="clear" w:color="auto" w:fill="FFFFFF"/>
          </w:tcPr>
          <w:p>
            <w:pPr>
              <w:spacing w:before="60" w:after="20"/>
            </w:pPr>
            <w:r>
              <w:rPr>
                <w:rFonts w:ascii="Calibri" w:hAnsi="Calibri"/>
                <w:b/>
                <w:color w:val="1C1917"/>
                <w:sz w:val="20"/>
              </w:rPr>
              <w:t>How many separate systems or applications do you touch to complete this process?</w:t>
            </w:r>
          </w:p>
          <w:p>
            <w:pPr>
              <w:spacing w:before="40" w:after="60"/>
            </w:pPr>
            <w:r>
              <w:rPr>
                <w:rFonts w:ascii="Calibri" w:hAnsi="Calibri"/>
                <w:i/>
                <w:color w:val="78716C"/>
                <w:sz w:val="17"/>
              </w:rPr>
              <w:t>Count every system: HRIS, ATS, email, Slack, spreadsheets, portals, etc. 1 = very simple | 2–3 = manageable | 4–5 = moderate | 6+ = complex</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EXAMPLE  </w:t>
            </w:r>
            <w:r>
              <w:rPr>
                <w:rFonts w:ascii="Calibri" w:hAnsi="Calibri"/>
                <w:i/>
                <w:color w:val="0F766E"/>
                <w:sz w:val="18"/>
              </w:rPr>
              <w:t>Jamie: 'I use the ATS, HRIS, Gmail, Slack, and our shared Onboarding Tracker spreadsheet.' → 4–5 applications (moderate)</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C4</w:t>
            </w:r>
          </w:p>
        </w:tc>
        <w:tc>
          <w:tcPr>
            <w:tcW w:type="dxa" w:w="3249"/>
            <w:shd w:val="clear" w:color="auto" w:fill="FFFFFF"/>
          </w:tcPr>
          <w:p>
            <w:pPr>
              <w:spacing w:before="60" w:after="20"/>
            </w:pPr>
            <w:r>
              <w:rPr>
                <w:rFonts w:ascii="Calibri" w:hAnsi="Calibri"/>
                <w:b/>
                <w:color w:val="1C1917"/>
                <w:sz w:val="20"/>
              </w:rPr>
              <w:t>Out of every 100 times this process runs, how many require manual intervention — an exception, escalation, or judgment call?</w:t>
            </w:r>
          </w:p>
          <w:p>
            <w:pPr>
              <w:spacing w:before="40" w:after="60"/>
            </w:pPr>
            <w:r>
              <w:rPr>
                <w:rFonts w:ascii="Calibri" w:hAnsi="Calibri"/>
                <w:i/>
                <w:color w:val="78716C"/>
                <w:sz w:val="17"/>
              </w:rPr>
              <w:t>&lt; 5% = low | 5–15% = medium | 16–30% = high | &gt; 30% = redesign first</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C5</w:t>
            </w:r>
          </w:p>
        </w:tc>
        <w:tc>
          <w:tcPr>
            <w:tcW w:type="dxa" w:w="3249"/>
            <w:shd w:val="clear" w:color="auto" w:fill="FFFFFF"/>
          </w:tcPr>
          <w:p>
            <w:pPr>
              <w:spacing w:before="60" w:after="20"/>
            </w:pPr>
            <w:r>
              <w:rPr>
                <w:rFonts w:ascii="Calibri" w:hAnsi="Calibri"/>
                <w:b/>
                <w:color w:val="1C1917"/>
                <w:sz w:val="20"/>
              </w:rPr>
              <w:t>Do any of those systems require you to log in through a virtual machine or Citrix?</w:t>
            </w:r>
          </w:p>
          <w:p>
            <w:pPr>
              <w:spacing w:before="40" w:after="60"/>
            </w:pPr>
            <w:r>
              <w:rPr>
                <w:rFonts w:ascii="Calibri" w:hAnsi="Calibri"/>
                <w:i/>
                <w:color w:val="78716C"/>
                <w:sz w:val="17"/>
              </w:rPr>
              <w:t>VM/Citrix = significantly higher RPA cost and maintenance. Important flag.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C6</w:t>
            </w:r>
          </w:p>
        </w:tc>
        <w:tc>
          <w:tcPr>
            <w:tcW w:type="dxa" w:w="3249"/>
            <w:shd w:val="clear" w:color="auto" w:fill="FFFFFF"/>
          </w:tcPr>
          <w:p>
            <w:pPr>
              <w:spacing w:before="60" w:after="20"/>
            </w:pPr>
            <w:r>
              <w:rPr>
                <w:rFonts w:ascii="Calibri" w:hAnsi="Calibri"/>
                <w:b/>
                <w:color w:val="1C1917"/>
                <w:sz w:val="20"/>
              </w:rPr>
              <w:t>Do any of the key systems you use have an API — a way to connect to them programmatically?</w:t>
            </w:r>
          </w:p>
          <w:p>
            <w:pPr>
              <w:spacing w:before="40" w:after="60"/>
            </w:pPr>
            <w:r>
              <w:rPr>
                <w:rFonts w:ascii="Calibri" w:hAnsi="Calibri"/>
                <w:i/>
                <w:color w:val="78716C"/>
                <w:sz w:val="17"/>
              </w:rPr>
              <w:t>APIs = more reliable than UI automation. Ask IT if unsure. Flag 'unknown' and we'll investigate during scoping.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SECTION D  —  Volume &amp; Business Benefit  (Is it worth automating?)</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D1</w:t>
            </w:r>
          </w:p>
        </w:tc>
        <w:tc>
          <w:tcPr>
            <w:tcW w:type="dxa" w:w="3249"/>
            <w:shd w:val="clear" w:color="auto" w:fill="FFFFFF"/>
          </w:tcPr>
          <w:p>
            <w:pPr>
              <w:spacing w:before="60" w:after="20"/>
            </w:pPr>
            <w:r>
              <w:rPr>
                <w:rFonts w:ascii="Calibri" w:hAnsi="Calibri"/>
                <w:b/>
                <w:color w:val="1C1917"/>
                <w:sz w:val="20"/>
              </w:rPr>
              <w:t>How many people currently perform this process?</w:t>
            </w:r>
          </w:p>
          <w:p>
            <w:pPr>
              <w:spacing w:before="40" w:after="60"/>
            </w:pPr>
            <w:r>
              <w:rPr>
                <w:rFonts w:ascii="Calibri" w:hAnsi="Calibri"/>
                <w:i/>
                <w:color w:val="78716C"/>
                <w:sz w:val="17"/>
              </w:rPr>
              <w:t>Enter number of employees (full-time equivalents). E.g. '2 HR specialists each spend 30% of their time on this' = ~0.6 FTE</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D2</w:t>
            </w:r>
          </w:p>
        </w:tc>
        <w:tc>
          <w:tcPr>
            <w:tcW w:type="dxa" w:w="3249"/>
            <w:shd w:val="clear" w:color="auto" w:fill="FFFFFF"/>
          </w:tcPr>
          <w:p>
            <w:pPr>
              <w:spacing w:before="60" w:after="20"/>
            </w:pPr>
            <w:r>
              <w:rPr>
                <w:rFonts w:ascii="Calibri" w:hAnsi="Calibri"/>
                <w:b/>
                <w:color w:val="1C1917"/>
                <w:sz w:val="20"/>
              </w:rPr>
              <w:t>How often does this process run — daily, weekly, monthly?</w:t>
            </w:r>
          </w:p>
          <w:p>
            <w:pPr>
              <w:spacing w:before="40" w:after="60"/>
            </w:pPr>
            <w:r>
              <w:rPr>
                <w:rFonts w:ascii="Calibri" w:hAnsi="Calibri"/>
                <w:i/>
                <w:color w:val="78716C"/>
                <w:sz w:val="17"/>
              </w:rPr>
              <w:t>Daily | Weekly | Bi-weekly | Monthly | Quarterly | Annually</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D3</w:t>
            </w:r>
          </w:p>
        </w:tc>
        <w:tc>
          <w:tcPr>
            <w:tcW w:type="dxa" w:w="3249"/>
            <w:shd w:val="clear" w:color="auto" w:fill="FFFFFF"/>
          </w:tcPr>
          <w:p>
            <w:pPr>
              <w:spacing w:before="60" w:after="20"/>
            </w:pPr>
            <w:r>
              <w:rPr>
                <w:rFonts w:ascii="Calibri" w:hAnsi="Calibri"/>
                <w:b/>
                <w:color w:val="1C1917"/>
                <w:sz w:val="20"/>
              </w:rPr>
              <w:t>And how many times per [frequency] does it run? What's the transaction volume?</w:t>
            </w:r>
          </w:p>
          <w:p>
            <w:pPr>
              <w:spacing w:before="40" w:after="60"/>
            </w:pPr>
            <w:r>
              <w:rPr>
                <w:rFonts w:ascii="Calibri" w:hAnsi="Calibri"/>
                <w:i/>
                <w:color w:val="78716C"/>
                <w:sz w:val="17"/>
              </w:rPr>
              <w:t>E.g. 'We onboard 25 new hires per quarter' → Volume = 25, Frequency = Quarterly</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EXAMPLE  </w:t>
            </w:r>
            <w:r>
              <w:rPr>
                <w:rFonts w:ascii="Calibri" w:hAnsi="Calibri"/>
                <w:i/>
                <w:color w:val="0F766E"/>
                <w:sz w:val="18"/>
              </w:rPr>
              <w:t>Jamie: '2 HR specialists, quarterly, 25 new hires per quarter, about 60 minutes each.' → Hours/year = 2 × 4 × 25 × 1 = 200 hrs/year across both staff.</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D4</w:t>
            </w:r>
          </w:p>
        </w:tc>
        <w:tc>
          <w:tcPr>
            <w:tcW w:type="dxa" w:w="3249"/>
            <w:shd w:val="clear" w:color="auto" w:fill="FFFFFF"/>
          </w:tcPr>
          <w:p>
            <w:pPr>
              <w:spacing w:before="60" w:after="20"/>
            </w:pPr>
            <w:r>
              <w:rPr>
                <w:rFonts w:ascii="Calibri" w:hAnsi="Calibri"/>
                <w:b/>
                <w:color w:val="1C1917"/>
                <w:sz w:val="20"/>
              </w:rPr>
              <w:t>How long does one instance of this process take on average — start to finish?</w:t>
            </w:r>
          </w:p>
          <w:p>
            <w:pPr>
              <w:spacing w:before="40" w:after="60"/>
            </w:pPr>
            <w:r>
              <w:rPr>
                <w:rFonts w:ascii="Calibri" w:hAnsi="Calibri"/>
                <w:i/>
                <w:color w:val="78716C"/>
                <w:sz w:val="17"/>
              </w:rPr>
              <w:t>Give in minutes. E.g. 30 mins per transaction. 2 hours = 120 mins.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D5</w:t>
            </w:r>
          </w:p>
        </w:tc>
        <w:tc>
          <w:tcPr>
            <w:tcW w:type="dxa" w:w="3249"/>
            <w:shd w:val="clear" w:color="auto" w:fill="FFFFFF"/>
          </w:tcPr>
          <w:p>
            <w:pPr>
              <w:spacing w:before="60" w:after="20"/>
            </w:pPr>
            <w:r>
              <w:rPr>
                <w:rFonts w:ascii="Calibri" w:hAnsi="Calibri"/>
                <w:b/>
                <w:color w:val="1C1917"/>
                <w:sz w:val="20"/>
              </w:rPr>
              <w:t>How often do errors occur? What's the typical error or rework rate?</w:t>
            </w:r>
          </w:p>
          <w:p>
            <w:pPr>
              <w:spacing w:before="40" w:after="60"/>
            </w:pPr>
            <w:r>
              <w:rPr>
                <w:rFonts w:ascii="Calibri" w:hAnsi="Calibri"/>
                <w:i/>
                <w:color w:val="78716C"/>
                <w:sz w:val="17"/>
              </w:rPr>
              <w:t>E.g. '20% of new hires have a data entry mistake in the first week' → Error rate = 20%</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D6</w:t>
            </w:r>
          </w:p>
        </w:tc>
        <w:tc>
          <w:tcPr>
            <w:tcW w:type="dxa" w:w="3249"/>
            <w:shd w:val="clear" w:color="auto" w:fill="FFFFFF"/>
          </w:tcPr>
          <w:p>
            <w:pPr>
              <w:spacing w:before="60" w:after="20"/>
            </w:pPr>
            <w:r>
              <w:rPr>
                <w:rFonts w:ascii="Calibri" w:hAnsi="Calibri"/>
                <w:b/>
                <w:color w:val="1C1917"/>
                <w:sz w:val="20"/>
              </w:rPr>
              <w:t>What happens when an error occurs? What's the business impact?</w:t>
            </w:r>
          </w:p>
          <w:p>
            <w:pPr>
              <w:spacing w:before="40" w:after="60"/>
            </w:pPr>
            <w:r>
              <w:rPr>
                <w:rFonts w:ascii="Calibri" w:hAnsi="Calibri"/>
                <w:i/>
                <w:color w:val="78716C"/>
                <w:sz w:val="17"/>
              </w:rPr>
              <w:t>No impact | Minor rework | Moderate delays | Financial/compliance risk | Critical/safety</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D7</w:t>
            </w:r>
          </w:p>
        </w:tc>
        <w:tc>
          <w:tcPr>
            <w:tcW w:type="dxa" w:w="3249"/>
            <w:shd w:val="clear" w:color="auto" w:fill="FFFFFF"/>
          </w:tcPr>
          <w:p>
            <w:pPr>
              <w:spacing w:before="60" w:after="20"/>
            </w:pPr>
            <w:r>
              <w:rPr>
                <w:rFonts w:ascii="Calibri" w:hAnsi="Calibri"/>
                <w:b/>
                <w:color w:val="1C1917"/>
                <w:sz w:val="20"/>
              </w:rPr>
              <w:t>Are there peak periods where this process puts extra strain on your team?</w:t>
            </w:r>
          </w:p>
          <w:p>
            <w:pPr>
              <w:spacing w:before="40" w:after="60"/>
            </w:pPr>
            <w:r>
              <w:rPr>
                <w:rFonts w:ascii="Calibri" w:hAnsi="Calibri"/>
                <w:i/>
                <w:color w:val="78716C"/>
                <w:sz w:val="17"/>
              </w:rPr>
              <w:t>E.g. month-end, annual open enrollment, quarterly close. Predictable = more automatable.</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D8</w:t>
            </w:r>
          </w:p>
        </w:tc>
        <w:tc>
          <w:tcPr>
            <w:tcW w:type="dxa" w:w="3249"/>
            <w:shd w:val="clear" w:color="auto" w:fill="FFFFFF"/>
          </w:tcPr>
          <w:p>
            <w:pPr>
              <w:spacing w:before="60" w:after="20"/>
            </w:pPr>
            <w:r>
              <w:rPr>
                <w:rFonts w:ascii="Calibri" w:hAnsi="Calibri"/>
                <w:b/>
                <w:color w:val="1C1917"/>
                <w:sz w:val="20"/>
              </w:rPr>
              <w:t>How strategically important is automating this process to the business right now?</w:t>
            </w:r>
          </w:p>
          <w:p>
            <w:pPr>
              <w:spacing w:before="40" w:after="60"/>
            </w:pPr>
            <w:r>
              <w:rPr>
                <w:rFonts w:ascii="Calibri" w:hAnsi="Calibri"/>
                <w:i/>
                <w:color w:val="78716C"/>
                <w:sz w:val="17"/>
              </w:rPr>
              <w:t>Low = nice-to-have | Medium = operational improvement | High = strategic goal | Critical = top priority</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SECTION E  —  Data &amp; Integration Readiness</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E1</w:t>
            </w:r>
          </w:p>
        </w:tc>
        <w:tc>
          <w:tcPr>
            <w:tcW w:type="dxa" w:w="3249"/>
            <w:shd w:val="clear" w:color="auto" w:fill="FFFFFF"/>
          </w:tcPr>
          <w:p>
            <w:pPr>
              <w:spacing w:before="60" w:after="20"/>
            </w:pPr>
            <w:r>
              <w:rPr>
                <w:rFonts w:ascii="Calibri" w:hAnsi="Calibri"/>
                <w:b/>
                <w:color w:val="1C1917"/>
                <w:sz w:val="20"/>
              </w:rPr>
              <w:t>What percentage of your input data is already digital — living in a system or file, not on paper?</w:t>
            </w:r>
          </w:p>
          <w:p>
            <w:pPr>
              <w:spacing w:before="40" w:after="60"/>
            </w:pPr>
            <w:r>
              <w:rPr>
                <w:rFonts w:ascii="Calibri" w:hAnsi="Calibri"/>
                <w:i/>
                <w:color w:val="78716C"/>
                <w:sz w:val="17"/>
              </w:rPr>
              <w:t>100% digital | 75–99% | 50–74% | 25–49% | &lt; 25%. Paper-heavy processes need a digitization step first.</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E2</w:t>
            </w:r>
          </w:p>
        </w:tc>
        <w:tc>
          <w:tcPr>
            <w:tcW w:type="dxa" w:w="3249"/>
            <w:shd w:val="clear" w:color="auto" w:fill="FFFFFF"/>
          </w:tcPr>
          <w:p>
            <w:pPr>
              <w:spacing w:before="60" w:after="20"/>
            </w:pPr>
            <w:r>
              <w:rPr>
                <w:rFonts w:ascii="Calibri" w:hAnsi="Calibri"/>
                <w:b/>
                <w:color w:val="1C1917"/>
                <w:sz w:val="20"/>
              </w:rPr>
              <w:t>Of the digital data, how much of it is structured — consistent fields and formats — vs. free-text or unstructured?</w:t>
            </w:r>
          </w:p>
          <w:p>
            <w:pPr>
              <w:spacing w:before="40" w:after="60"/>
            </w:pPr>
            <w:r>
              <w:rPr>
                <w:rFonts w:ascii="Calibri" w:hAnsi="Calibri"/>
                <w:i/>
                <w:color w:val="78716C"/>
                <w:sz w:val="17"/>
              </w:rPr>
              <w:t>Structured = spreadsheet rows, form fields, database records. Unstructured = emails, PDFs, scanned documents.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E3</w:t>
            </w:r>
          </w:p>
        </w:tc>
        <w:tc>
          <w:tcPr>
            <w:tcW w:type="dxa" w:w="3249"/>
            <w:shd w:val="clear" w:color="auto" w:fill="FFFFFF"/>
          </w:tcPr>
          <w:p>
            <w:pPr>
              <w:spacing w:before="60" w:after="20"/>
            </w:pPr>
            <w:r>
              <w:rPr>
                <w:rFonts w:ascii="Calibri" w:hAnsi="Calibri"/>
                <w:b/>
                <w:color w:val="1C1917"/>
                <w:sz w:val="20"/>
              </w:rPr>
              <w:t>Is any of the input data from scanned documents that would require OCR to read?</w:t>
            </w:r>
          </w:p>
          <w:p>
            <w:pPr>
              <w:spacing w:before="40" w:after="60"/>
            </w:pPr>
            <w:r>
              <w:rPr>
                <w:rFonts w:ascii="Calibri" w:hAnsi="Calibri"/>
                <w:i/>
                <w:color w:val="78716C"/>
                <w:sz w:val="17"/>
              </w:rPr>
              <w:t>OCR = Optical Character Recognition. Adds cost and error risk. Ask: 'Do you ever need to read data off a printed form or scanned PDF?'</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E4</w:t>
            </w:r>
          </w:p>
        </w:tc>
        <w:tc>
          <w:tcPr>
            <w:tcW w:type="dxa" w:w="3249"/>
            <w:shd w:val="clear" w:color="auto" w:fill="FFFFFF"/>
          </w:tcPr>
          <w:p>
            <w:pPr>
              <w:spacing w:before="60" w:after="20"/>
            </w:pPr>
            <w:r>
              <w:rPr>
                <w:rFonts w:ascii="Calibri" w:hAnsi="Calibri"/>
                <w:b/>
                <w:color w:val="1C1917"/>
                <w:sz w:val="20"/>
              </w:rPr>
              <w:t>How would you rate the quality and consistency of the input data today — is it clean and reliable?</w:t>
            </w:r>
          </w:p>
          <w:p>
            <w:pPr>
              <w:spacing w:before="40" w:after="60"/>
            </w:pPr>
            <w:r>
              <w:rPr>
                <w:rFonts w:ascii="Calibri" w:hAnsi="Calibri"/>
                <w:i/>
                <w:color w:val="78716C"/>
                <w:sz w:val="17"/>
              </w:rPr>
              <w:t>Excellent | Good (minor issues) | Fair (needs cleaning) | Poor | Very Poor. Poor data quality is the #1 reason automation projects fail.</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E5</w:t>
            </w:r>
          </w:p>
        </w:tc>
        <w:tc>
          <w:tcPr>
            <w:tcW w:type="dxa" w:w="3249"/>
            <w:shd w:val="clear" w:color="auto" w:fill="FFFFFF"/>
          </w:tcPr>
          <w:p>
            <w:pPr>
              <w:spacing w:before="60" w:after="20"/>
            </w:pPr>
            <w:r>
              <w:rPr>
                <w:rFonts w:ascii="Calibri" w:hAnsi="Calibri"/>
                <w:b/>
                <w:color w:val="1C1917"/>
                <w:sz w:val="20"/>
              </w:rPr>
              <w:t>How complex are the integrations between the systems involved?</w:t>
            </w:r>
          </w:p>
          <w:p>
            <w:pPr>
              <w:spacing w:before="40" w:after="60"/>
            </w:pPr>
            <w:r>
              <w:rPr>
                <w:rFonts w:ascii="Calibri" w:hAnsi="Calibri"/>
                <w:i/>
                <w:color w:val="78716C"/>
                <w:sz w:val="17"/>
              </w:rPr>
              <w:t>Simple = 1 system | Moderate = 2–3 standard APIs | Complex = multiple systems + custom integration | Very complex = legacy with no APIs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ECFDF5"/>
          </w:tcPr>
          <w:p>
            <w:pPr>
              <w:spacing w:before="60" w:after="60"/>
            </w:pPr>
            <w:r>
              <w:rPr>
                <w:rFonts w:ascii="Calibri" w:hAnsi="Calibri"/>
                <w:b/>
                <w:color w:val="047857"/>
                <w:sz w:val="18"/>
              </w:rPr>
              <w:t xml:space="preserve">TIP  </w:t>
            </w:r>
            <w:r>
              <w:rPr>
                <w:rFonts w:ascii="Calibri" w:hAnsi="Calibri"/>
                <w:color w:val="047857"/>
                <w:sz w:val="18"/>
              </w:rPr>
              <w:t>If data quality is Poor or Very Poor → recommend a Data Cleanup Sprint before automating. 'We can automate the process, but if the data going in is messy, the automation will just make mistakes faster. Let's fix the data first.'</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047857"/>
          </w:tcPr>
          <w:p>
            <w:pPr>
              <w:spacing w:before="80" w:after="80"/>
              <w:jc w:val="left"/>
            </w:pPr>
            <w:r>
              <w:rPr>
                <w:rFonts w:ascii="Calibri" w:hAnsi="Calibri"/>
                <w:b/>
                <w:color w:val="FFFFFF"/>
                <w:sz w:val="24"/>
              </w:rPr>
              <w:t>SECTION F  —  AI Readiness  (Doxa AI Transformation Advisory)</w:t>
            </w:r>
          </w:p>
        </w:tc>
      </w:tr>
    </w:tbl>
    <w:p>
      <w:pPr>
        <w:spacing w:after="4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F1</w:t>
            </w:r>
          </w:p>
        </w:tc>
        <w:tc>
          <w:tcPr>
            <w:tcW w:type="dxa" w:w="3249"/>
            <w:shd w:val="clear" w:color="auto" w:fill="FFFFFF"/>
          </w:tcPr>
          <w:p>
            <w:pPr>
              <w:spacing w:before="60" w:after="20"/>
            </w:pPr>
            <w:r>
              <w:rPr>
                <w:rFonts w:ascii="Calibri" w:hAnsi="Calibri"/>
                <w:b/>
                <w:color w:val="1C1917"/>
                <w:sz w:val="20"/>
              </w:rPr>
              <w:t>Does this process involve recognizing patterns, spotting anomalies, or making predictions — or is it purely mechanical rules?</w:t>
            </w:r>
          </w:p>
          <w:p>
            <w:pPr>
              <w:spacing w:before="40" w:after="60"/>
            </w:pPr>
            <w:r>
              <w:rPr>
                <w:rFonts w:ascii="Calibri" w:hAnsi="Calibri"/>
                <w:i/>
                <w:color w:val="78716C"/>
                <w:sz w:val="17"/>
              </w:rPr>
              <w:t>If yes → AI may outperform rules-based RPA. E.g. fraud detection, demand forecasting, risk scoring.</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F2</w:t>
            </w:r>
          </w:p>
        </w:tc>
        <w:tc>
          <w:tcPr>
            <w:tcW w:type="dxa" w:w="3249"/>
            <w:shd w:val="clear" w:color="auto" w:fill="FFFFFF"/>
          </w:tcPr>
          <w:p>
            <w:pPr>
              <w:spacing w:before="60" w:after="20"/>
            </w:pPr>
            <w:r>
              <w:rPr>
                <w:rFonts w:ascii="Calibri" w:hAnsi="Calibri"/>
                <w:b/>
                <w:color w:val="1C1917"/>
                <w:sz w:val="20"/>
              </w:rPr>
              <w:t>Does the process involve reading, interpreting, or generating text in a meaningful way — not just copying it?</w:t>
            </w:r>
          </w:p>
          <w:p>
            <w:pPr>
              <w:spacing w:before="40" w:after="60"/>
            </w:pPr>
            <w:r>
              <w:rPr>
                <w:rFonts w:ascii="Calibri" w:hAnsi="Calibri"/>
                <w:i/>
                <w:color w:val="78716C"/>
                <w:sz w:val="17"/>
              </w:rPr>
              <w:t>E.g. email triage, contract review, document summarization, chatbot responses. If yes → NLP/LLM layer may be appropriate.</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F3</w:t>
            </w:r>
          </w:p>
        </w:tc>
        <w:tc>
          <w:tcPr>
            <w:tcW w:type="dxa" w:w="3249"/>
            <w:shd w:val="clear" w:color="auto" w:fill="FFFFFF"/>
          </w:tcPr>
          <w:p>
            <w:pPr>
              <w:spacing w:before="60" w:after="20"/>
            </w:pPr>
            <w:r>
              <w:rPr>
                <w:rFonts w:ascii="Calibri" w:hAnsi="Calibri"/>
                <w:b/>
                <w:color w:val="1C1917"/>
                <w:sz w:val="20"/>
              </w:rPr>
              <w:t>Is there a history of data we can use? How far back does clean, usable data go?</w:t>
            </w:r>
          </w:p>
          <w:p>
            <w:pPr>
              <w:spacing w:before="40" w:after="60"/>
            </w:pPr>
            <w:r>
              <w:rPr>
                <w:rFonts w:ascii="Calibri" w:hAnsi="Calibri"/>
                <w:i/>
                <w:color w:val="78716C"/>
                <w:sz w:val="17"/>
              </w:rPr>
              <w:t>AI/ML typically needs 6–12 months minimum. 'Clean data' = complete records with known outcomes.</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F4</w:t>
            </w:r>
          </w:p>
        </w:tc>
        <w:tc>
          <w:tcPr>
            <w:tcW w:type="dxa" w:w="3249"/>
            <w:shd w:val="clear" w:color="auto" w:fill="FFFFFF"/>
          </w:tcPr>
          <w:p>
            <w:pPr>
              <w:spacing w:before="60" w:after="20"/>
            </w:pPr>
            <w:r>
              <w:rPr>
                <w:rFonts w:ascii="Calibri" w:hAnsi="Calibri"/>
                <w:b/>
                <w:color w:val="1C1917"/>
                <w:sz w:val="20"/>
              </w:rPr>
              <w:t>How tolerant is the business of an AI being wrong some percentage of the time?</w:t>
            </w:r>
          </w:p>
          <w:p>
            <w:pPr>
              <w:spacing w:before="40" w:after="60"/>
            </w:pPr>
            <w:r>
              <w:rPr>
                <w:rFonts w:ascii="Calibri" w:hAnsi="Calibri"/>
                <w:i/>
                <w:color w:val="78716C"/>
                <w:sz w:val="17"/>
              </w:rPr>
              <w:t>Zero tolerance (finance, compliance, safety) = rules-based, not AI. High tolerance = AI can optimize for speed over perfect precision.</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CCFBF1"/>
          </w:tcPr>
          <w:p>
            <w:pPr>
              <w:spacing w:before="80" w:after="80"/>
            </w:pPr>
            <w:r>
              <w:rPr>
                <w:rFonts w:ascii="Calibri" w:hAnsi="Calibri"/>
                <w:b/>
                <w:color w:val="0F766E"/>
                <w:sz w:val="18"/>
              </w:rPr>
              <w:t xml:space="preserve">NOTE  </w:t>
            </w:r>
            <w:r>
              <w:rPr>
                <w:rFonts w:ascii="Calibri" w:hAnsi="Calibri"/>
                <w:i/>
                <w:color w:val="0F766E"/>
                <w:sz w:val="18"/>
              </w:rPr>
              <w:t>For most operational automations, start with rules-based RPA or custom build. Add AI as a layer once the core process is stable. Doxa AI Advisory engagements typically start with a readiness audit.</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WRAP-UP  —  Confirm &amp; Next Steps (3–5 min)</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CCFBF1"/>
          </w:tcPr>
          <w:p>
            <w:pPr>
              <w:spacing w:before="100" w:after="100"/>
            </w:pPr>
            <w:r>
              <w:rPr>
                <w:rFonts w:ascii="Calibri" w:hAnsi="Calibri"/>
                <w:b/>
                <w:color w:val="0F766E"/>
                <w:sz w:val="18"/>
              </w:rPr>
              <w:t xml:space="preserve">WRAP-UP SCRIPT  </w:t>
            </w:r>
            <w:r>
              <w:rPr>
                <w:rFonts w:ascii="Calibri" w:hAnsi="Calibri"/>
                <w:i/>
                <w:color w:val="0F766E"/>
                <w:sz w:val="18"/>
              </w:rPr>
              <w:t>"That covers everything I need. Let me summarize what I'm hearing: [brief 2-sentence summary of the process and its automation potential]. Does that sound right? ... Great. I'll run this through our assessment tool and come back to you with a recommendation and an estimated ROI. We typically deliver that within [2–3 business days]. Any questions before we wrap up?"</w:t>
            </w:r>
          </w:p>
        </w:tc>
      </w:tr>
    </w:tbl>
    <w:p>
      <w:pPr>
        <w:spacing w:after="8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G1</w:t>
            </w:r>
          </w:p>
        </w:tc>
        <w:tc>
          <w:tcPr>
            <w:tcW w:type="dxa" w:w="3249"/>
            <w:shd w:val="clear" w:color="auto" w:fill="FFFFFF"/>
          </w:tcPr>
          <w:p>
            <w:pPr>
              <w:spacing w:before="60" w:after="20"/>
            </w:pPr>
            <w:r>
              <w:rPr>
                <w:rFonts w:ascii="Calibri" w:hAnsi="Calibri"/>
                <w:b/>
                <w:color w:val="1C1917"/>
                <w:sz w:val="20"/>
              </w:rPr>
              <w:t>Is there anyone else we should loop in — the IT team, a process owner, or a stakeholder who would approve an automation project?</w:t>
            </w:r>
          </w:p>
          <w:p>
            <w:pPr>
              <w:spacing w:before="40" w:after="60"/>
            </w:pPr>
            <w:r>
              <w:rPr>
                <w:rFonts w:ascii="Calibri" w:hAnsi="Calibri"/>
                <w:i/>
                <w:color w:val="78716C"/>
                <w:sz w:val="17"/>
              </w:rPr>
              <w:t>Get names + contact info for the decision-maker and the technical contact.</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G2</w:t>
            </w:r>
          </w:p>
        </w:tc>
        <w:tc>
          <w:tcPr>
            <w:tcW w:type="dxa" w:w="3249"/>
            <w:shd w:val="clear" w:color="auto" w:fill="FFFFFF"/>
          </w:tcPr>
          <w:p>
            <w:pPr>
              <w:spacing w:before="60" w:after="20"/>
            </w:pPr>
            <w:r>
              <w:rPr>
                <w:rFonts w:ascii="Calibri" w:hAnsi="Calibri"/>
                <w:b/>
                <w:color w:val="1C1917"/>
                <w:sz w:val="20"/>
              </w:rPr>
              <w:t>What is the timeline pressure, if any? Is there a specific deadline or event driving this?</w:t>
            </w:r>
          </w:p>
          <w:p>
            <w:pPr>
              <w:spacing w:before="40" w:after="60"/>
            </w:pPr>
            <w:r>
              <w:rPr>
                <w:rFonts w:ascii="Calibri" w:hAnsi="Calibri"/>
                <w:i/>
                <w:color w:val="78716C"/>
                <w:sz w:val="17"/>
              </w:rPr>
              <w:t>E.g. 'We need this before open enrollment in October.' Urgency affects scope and engagement type recommendation.</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504"/>
        <w:gridCol w:w="4752"/>
        <w:gridCol w:w="4104"/>
      </w:tblGrid>
      <w:tr>
        <w:tc>
          <w:tcPr>
            <w:tcW w:type="dxa" w:w="3249"/>
            <w:shd w:val="clear" w:color="auto" w:fill="047857"/>
            <w:vAlign/>
          </w:tcPr>
          <w:p>
            <w:pPr>
              <w:spacing w:before="80"/>
              <w:jc w:val="center"/>
            </w:pPr>
            <w:r>
              <w:rPr>
                <w:rFonts w:ascii="Calibri" w:hAnsi="Calibri"/>
                <w:b/>
                <w:color w:val="FFFFFF"/>
                <w:sz w:val="20"/>
              </w:rPr>
              <w:t>G3</w:t>
            </w:r>
          </w:p>
        </w:tc>
        <w:tc>
          <w:tcPr>
            <w:tcW w:type="dxa" w:w="3249"/>
            <w:shd w:val="clear" w:color="auto" w:fill="FFFFFF"/>
          </w:tcPr>
          <w:p>
            <w:pPr>
              <w:spacing w:before="60" w:after="20"/>
            </w:pPr>
            <w:r>
              <w:rPr>
                <w:rFonts w:ascii="Calibri" w:hAnsi="Calibri"/>
                <w:b/>
                <w:color w:val="1C1917"/>
                <w:sz w:val="20"/>
              </w:rPr>
              <w:t>Is there a budget range already allocated, or is this still exploratory?</w:t>
            </w:r>
          </w:p>
          <w:p>
            <w:pPr>
              <w:spacing w:before="40" w:after="60"/>
            </w:pPr>
            <w:r>
              <w:rPr>
                <w:rFonts w:ascii="Calibri" w:hAnsi="Calibri"/>
                <w:i/>
                <w:color w:val="78716C"/>
                <w:sz w:val="17"/>
              </w:rPr>
              <w:t>Helps scope the recommendation: Clarity Sprint ($750) vs. full engagement ($8K–$25K+). No budget yet = start with Clarity Sprint.</w:t>
            </w:r>
          </w:p>
        </w:tc>
        <w:tc>
          <w:tcPr>
            <w:tcW w:type="dxa" w:w="3249"/>
            <w:shd w:val="clear" w:color="auto" w:fill="F0FDF4"/>
          </w:tcPr>
          <w:p>
            <w:pPr>
              <w:spacing w:before="60" w:after="60"/>
            </w:pPr>
            <w:r>
              <w:rPr>
                <w:rFonts w:ascii="Calibri" w:hAnsi="Calibri"/>
                <w:b/>
                <w:color w:val="78716C"/>
                <w:sz w:val="18"/>
              </w:rPr>
              <w:t xml:space="preserve">Answer: </w:t>
            </w:r>
          </w:p>
          <w:p>
            <w:pPr>
              <w:spacing w:after="40"/>
            </w:pPr>
            <w:r>
              <w:rPr>
                <w:rFonts w:ascii="Calibri" w:hAnsi="Calibri"/>
                <w:color w:val="E7E5E4"/>
                <w:sz w:val="18"/>
              </w:rPr>
              <w:t>______________________________________</w:t>
            </w:r>
          </w:p>
          <w:p>
            <w:pPr>
              <w:spacing w:after="40"/>
            </w:pPr>
            <w:r>
              <w:rPr>
                <w:rFonts w:ascii="Calibri" w:hAnsi="Calibri"/>
                <w:color w:val="E7E5E4"/>
                <w:sz w:val="18"/>
              </w:rPr>
              <w:t>______________________________________</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ECFDF5"/>
          </w:tcPr>
          <w:p>
            <w:pPr>
              <w:spacing w:before="60" w:after="60"/>
            </w:pPr>
            <w:r>
              <w:rPr>
                <w:rFonts w:ascii="Calibri" w:hAnsi="Calibri"/>
                <w:b/>
                <w:color w:val="047857"/>
                <w:sz w:val="18"/>
              </w:rPr>
              <w:t xml:space="preserve">TIP  </w:t>
            </w:r>
            <w:r>
              <w:rPr>
                <w:rFonts w:ascii="Calibri" w:hAnsi="Calibri"/>
                <w:color w:val="047857"/>
                <w:sz w:val="18"/>
              </w:rPr>
              <w:t>Close strong: 'The next step is typically a Doxa Clarity Sprint — a 1-week engagement where we map the full process, define the automation scope, and give you a 90-day roadmap. That's $750 and gives you everything you need to make an informed investment decision.'</w:t>
            </w:r>
          </w:p>
        </w:tc>
      </w:tr>
    </w:tbl>
    <w:p>
      <w:pPr>
        <w:spacing w:after="60"/>
      </w:pPr>
    </w:p>
    <w:tbl>
      <w:tblPr>
        <w:tblStyle w:val="TableGrid"/>
        <w:tblW w:type="auto" w:w="0"/>
        <w:jc w:val="center"/>
        <w:tblLook w:firstColumn="1" w:firstRow="1" w:lastColumn="0" w:lastRow="0" w:noHBand="0" w:noVBand="1" w:val="04A0"/>
      </w:tblPr>
      <w:tblGrid>
        <w:gridCol w:w="9746"/>
      </w:tblGrid>
      <w:tr>
        <w:tc>
          <w:tcPr>
            <w:tcW w:type="dxa" w:w="9746"/>
            <w:shd w:val="clear" w:color="auto" w:fill="1C1917"/>
          </w:tcPr>
          <w:p>
            <w:pPr>
              <w:spacing w:before="80" w:after="80"/>
              <w:jc w:val="left"/>
            </w:pPr>
            <w:r>
              <w:rPr>
                <w:rFonts w:ascii="Calibri" w:hAnsi="Calibri"/>
                <w:b/>
                <w:color w:val="FFFFFF"/>
                <w:sz w:val="24"/>
              </w:rPr>
              <w:t>ASSESSOR NOTES  —  Post-Interview</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4F5F7"/>
          </w:tcPr>
          <w:p>
            <w:pPr>
              <w:spacing w:before="60" w:after="160"/>
            </w:pPr>
            <w:r>
              <w:rPr>
                <w:rFonts w:ascii="Calibri" w:hAnsi="Calibri"/>
                <w:color w:val="1C1917"/>
                <w:sz w:val="18"/>
              </w:rPr>
              <w:t>Preliminary Verdict (circle):  AUTOMATE NOW  |  AUTOMATE WITH CAUTION  |  REDESIGN FIRST  |  POSTPONE  |  NOT SUITABLE</w:t>
            </w:r>
          </w:p>
          <w:p>
            <w:pPr>
              <w:spacing w:before="60" w:after="160"/>
            </w:pPr>
            <w:r>
              <w:rPr>
                <w:rFonts w:ascii="Calibri" w:hAnsi="Calibri"/>
                <w:color w:val="1C1917"/>
                <w:sz w:val="18"/>
              </w:rPr>
              <w:t>Recommended Doxa Engagement:  ___________________________________________________________</w:t>
            </w:r>
          </w:p>
          <w:p>
            <w:pPr>
              <w:spacing w:before="60" w:after="160"/>
            </w:pPr>
            <w:r>
              <w:rPr>
                <w:rFonts w:ascii="Calibri" w:hAnsi="Calibri"/>
                <w:color w:val="1C1917"/>
                <w:sz w:val="18"/>
              </w:rPr>
              <w:t>Suggested Tools:  _______________________________________________________________________</w:t>
            </w:r>
          </w:p>
          <w:p>
            <w:pPr>
              <w:spacing w:before="60" w:after="160"/>
            </w:pPr>
            <w:r>
              <w:rPr>
                <w:rFonts w:ascii="Calibri" w:hAnsi="Calibri"/>
                <w:color w:val="1C1917"/>
                <w:sz w:val="18"/>
              </w:rPr>
              <w:t>Risks / Red Flags:  _____________________________________________________________________</w:t>
            </w:r>
          </w:p>
          <w:p>
            <w:pPr>
              <w:spacing w:before="60" w:after="160"/>
            </w:pPr>
            <w:r>
              <w:rPr>
                <w:rFonts w:ascii="Calibri" w:hAnsi="Calibri"/>
                <w:color w:val="1C1917"/>
                <w:sz w:val="18"/>
              </w:rPr>
              <w:t>Follow-up Actions:  _____________________________________________________________________</w:t>
            </w:r>
          </w:p>
          <w:p>
            <w:pPr>
              <w:spacing w:before="60" w:after="160"/>
            </w:pPr>
            <w:r>
              <w:rPr>
                <w:rFonts w:ascii="Calibri" w:hAnsi="Calibri"/>
                <w:color w:val="1C1917"/>
                <w:sz w:val="18"/>
              </w:rPr>
              <w:t>Sent to Excel Tool?   ☐ Yes — Date: ____________     Score Summary: ____________________</w:t>
            </w:r>
          </w:p>
          <w:p>
            <w:pPr>
              <w:spacing w:after="120"/>
            </w:pPr>
          </w:p>
        </w:tc>
      </w:tr>
    </w:tbl>
    <w:p>
      <w:pPr>
        <w:spacing w:after="120"/>
      </w:pPr>
    </w:p>
    <w:tbl>
      <w:tblPr>
        <w:tblStyle w:val="TableGrid"/>
        <w:tblW w:type="auto" w:w="0"/>
        <w:tblLook w:firstColumn="1" w:firstRow="1" w:lastColumn="0" w:lastRow="0" w:noHBand="0" w:noVBand="1" w:val="04A0"/>
      </w:tblPr>
      <w:tblGrid>
        <w:gridCol w:w="9746"/>
      </w:tblGrid>
      <w:tr>
        <w:tc>
          <w:tcPr>
            <w:tcW w:type="dxa" w:w="9746"/>
            <w:shd w:val="clear" w:color="auto" w:fill="1C1917"/>
          </w:tcPr>
          <w:p>
            <w:pPr>
              <w:spacing w:before="100" w:after="100"/>
              <w:jc w:val="center"/>
            </w:pPr>
            <w:r>
              <w:rPr>
                <w:rFonts w:ascii="Calibri" w:hAnsi="Calibri"/>
                <w:color w:val="FFFFFF"/>
                <w:sz w:val="18"/>
              </w:rPr>
              <w:t>© Doxa &amp; Co LLC  |  doxaandco.co  |  ename@doxaandco.co  |  +1 614 377 6633  |  Columbus, Ohio  |  Enterprise Rigor. Startup Velocity.</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