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441D0" w14:textId="65A6F6E9" w:rsidR="00F6303F" w:rsidRPr="001006E2" w:rsidRDefault="00F6303F" w:rsidP="001006E2">
      <w:pPr>
        <w:pStyle w:val="ListParagraph"/>
        <w:numPr>
          <w:ilvl w:val="0"/>
          <w:numId w:val="9"/>
        </w:numPr>
        <w:spacing w:line="480" w:lineRule="auto"/>
        <w:ind w:hanging="720"/>
        <w:jc w:val="both"/>
        <w:rPr>
          <w:b/>
          <w:bCs/>
          <w:lang w:val="en-US"/>
        </w:rPr>
      </w:pPr>
      <w:r w:rsidRPr="001006E2">
        <w:rPr>
          <w:b/>
          <w:bCs/>
          <w:lang w:val="en-US"/>
        </w:rPr>
        <w:t>Background Statement</w:t>
      </w:r>
    </w:p>
    <w:p w14:paraId="107DA94C" w14:textId="72C13311" w:rsidR="00F6303F" w:rsidRDefault="00D54693" w:rsidP="00A2555C">
      <w:pPr>
        <w:spacing w:line="480" w:lineRule="auto"/>
        <w:ind w:firstLine="720"/>
        <w:rPr>
          <w:lang w:val="en-US"/>
        </w:rPr>
      </w:pPr>
      <w:r>
        <w:rPr>
          <w:lang w:val="en-US"/>
        </w:rPr>
        <w:t xml:space="preserve">Alberta classifies wetlands into bogs, fens, swamps, marshes, and open water; 90% of the wetlands in the province are peat. </w:t>
      </w:r>
      <w:r w:rsidR="00A2555C">
        <w:rPr>
          <w:lang w:val="en-US"/>
        </w:rPr>
        <w:t>Wetlands occupy about 20% of Alberta’s land area</w:t>
      </w:r>
      <w:r w:rsidR="00113C25">
        <w:rPr>
          <w:lang w:val="en-US"/>
        </w:rPr>
        <w:t>, which translates into about 117,400 km2</w:t>
      </w:r>
      <w:r w:rsidR="00A2555C">
        <w:rPr>
          <w:lang w:val="en-US"/>
        </w:rPr>
        <w:t xml:space="preserve"> (Government of Alberta, 2013). The province has lost about 50-70 percent of its wetland area because the value of wetlands was not widely understood, and the ecosystem was seen mostly as nuisance or wastelands</w:t>
      </w:r>
      <w:r w:rsidR="00113C25">
        <w:rPr>
          <w:lang w:val="en-US"/>
        </w:rPr>
        <w:t>, especially on agricultural lands which accounts for most of the wetland degradation in the province</w:t>
      </w:r>
      <w:r w:rsidR="00A2555C">
        <w:rPr>
          <w:lang w:val="en-US"/>
        </w:rPr>
        <w:t>. However, in the start of the 21</w:t>
      </w:r>
      <w:r w:rsidR="00A2555C" w:rsidRPr="00A2555C">
        <w:rPr>
          <w:vertAlign w:val="superscript"/>
          <w:lang w:val="en-US"/>
        </w:rPr>
        <w:t>st</w:t>
      </w:r>
      <w:r w:rsidR="00A2555C">
        <w:rPr>
          <w:lang w:val="en-US"/>
        </w:rPr>
        <w:t xml:space="preserve"> century, Alberta is increasing designing policies or regulations to protect these important ecosystems; some of the important wetland related policies are discussed next.</w:t>
      </w:r>
    </w:p>
    <w:p w14:paraId="2DDF1145" w14:textId="14E56119" w:rsidR="00A2555C" w:rsidRDefault="00A2555C" w:rsidP="00A2555C">
      <w:pPr>
        <w:spacing w:line="480" w:lineRule="auto"/>
        <w:ind w:firstLine="720"/>
        <w:rPr>
          <w:lang w:val="en-US"/>
        </w:rPr>
      </w:pPr>
      <w:r>
        <w:rPr>
          <w:lang w:val="en-US"/>
        </w:rPr>
        <w:t xml:space="preserve">The Wetland Management in the Settled Area of Alberta: An interim Policy was designed in 1991 to protect wetlands, especially sloughs and marshes, in the settled areas (White region) of Alberta (Alberta Water Resources Commission, 1993). Specifically, the policy sought to manage wetlands by focusing on the following priorities (in descending order </w:t>
      </w:r>
      <w:r w:rsidR="00113C25">
        <w:rPr>
          <w:lang w:val="en-US"/>
        </w:rPr>
        <w:t>of</w:t>
      </w:r>
      <w:r>
        <w:rPr>
          <w:lang w:val="en-US"/>
        </w:rPr>
        <w:t xml:space="preserve"> importance) (</w:t>
      </w:r>
      <w:r>
        <w:rPr>
          <w:lang w:val="en-US"/>
        </w:rPr>
        <w:t>Alberta Water Resources Commission, 1993</w:t>
      </w:r>
      <w:r>
        <w:rPr>
          <w:lang w:val="en-US"/>
        </w:rPr>
        <w:t>):</w:t>
      </w:r>
    </w:p>
    <w:p w14:paraId="2E461C6B" w14:textId="4FB51790" w:rsidR="00A2555C" w:rsidRDefault="00A2555C" w:rsidP="00A2555C">
      <w:pPr>
        <w:pStyle w:val="ListParagraph"/>
        <w:numPr>
          <w:ilvl w:val="0"/>
          <w:numId w:val="8"/>
        </w:numPr>
        <w:spacing w:line="480" w:lineRule="auto"/>
        <w:rPr>
          <w:lang w:val="en-US"/>
        </w:rPr>
      </w:pPr>
      <w:r>
        <w:rPr>
          <w:lang w:val="en-US"/>
        </w:rPr>
        <w:t>to conserve wetlands in a natural state,</w:t>
      </w:r>
    </w:p>
    <w:p w14:paraId="7155BDFC" w14:textId="78B8977A" w:rsidR="00A2555C" w:rsidRDefault="00A2555C" w:rsidP="00A2555C">
      <w:pPr>
        <w:pStyle w:val="ListParagraph"/>
        <w:numPr>
          <w:ilvl w:val="0"/>
          <w:numId w:val="8"/>
        </w:numPr>
        <w:spacing w:line="480" w:lineRule="auto"/>
        <w:rPr>
          <w:lang w:val="en-US"/>
        </w:rPr>
      </w:pPr>
      <w:r>
        <w:rPr>
          <w:lang w:val="en-US"/>
        </w:rPr>
        <w:t>to mitigate degradation or loss of the wetlands and their benefits as close to the site of disturbance as possible,</w:t>
      </w:r>
    </w:p>
    <w:p w14:paraId="5C981CC7" w14:textId="47D080C7" w:rsidR="00A2555C" w:rsidRDefault="00A2555C" w:rsidP="00A2555C">
      <w:pPr>
        <w:pStyle w:val="ListParagraph"/>
        <w:numPr>
          <w:ilvl w:val="0"/>
          <w:numId w:val="8"/>
        </w:numPr>
        <w:spacing w:line="480" w:lineRule="auto"/>
        <w:rPr>
          <w:lang w:val="en-US"/>
        </w:rPr>
      </w:pPr>
      <w:r>
        <w:rPr>
          <w:lang w:val="en-US"/>
        </w:rPr>
        <w:t>to restore degraded wetlands.</w:t>
      </w:r>
    </w:p>
    <w:p w14:paraId="24E91CA0" w14:textId="3AE7B0DE" w:rsidR="00A2555C" w:rsidRDefault="00A2555C" w:rsidP="00A2555C">
      <w:pPr>
        <w:spacing w:line="480" w:lineRule="auto"/>
        <w:rPr>
          <w:lang w:val="en-US"/>
        </w:rPr>
      </w:pPr>
      <w:r>
        <w:rPr>
          <w:lang w:val="en-US"/>
        </w:rPr>
        <w:t xml:space="preserve">The policy recognized that wetlands in the province </w:t>
      </w:r>
      <w:r w:rsidR="00113C25">
        <w:rPr>
          <w:lang w:val="en-US"/>
        </w:rPr>
        <w:t>were</w:t>
      </w:r>
      <w:r>
        <w:rPr>
          <w:lang w:val="en-US"/>
        </w:rPr>
        <w:t xml:space="preserve"> not the </w:t>
      </w:r>
      <w:r w:rsidR="009124F1">
        <w:rPr>
          <w:lang w:val="en-US"/>
        </w:rPr>
        <w:t>same and</w:t>
      </w:r>
      <w:r>
        <w:rPr>
          <w:lang w:val="en-US"/>
        </w:rPr>
        <w:t xml:space="preserve"> sought to apply different wetland management rules in different parts of the province (</w:t>
      </w:r>
      <w:r>
        <w:rPr>
          <w:lang w:val="en-US"/>
        </w:rPr>
        <w:t>Alberta Water Resources Commission, 1993</w:t>
      </w:r>
      <w:r>
        <w:rPr>
          <w:lang w:val="en-US"/>
        </w:rPr>
        <w:t>).</w:t>
      </w:r>
    </w:p>
    <w:p w14:paraId="2BFF6312" w14:textId="590342E4" w:rsidR="00A633DE" w:rsidRDefault="009124F1" w:rsidP="00A2555C">
      <w:pPr>
        <w:spacing w:line="480" w:lineRule="auto"/>
        <w:rPr>
          <w:lang w:val="en-US"/>
        </w:rPr>
      </w:pPr>
      <w:r>
        <w:rPr>
          <w:lang w:val="en-US"/>
        </w:rPr>
        <w:tab/>
        <w:t xml:space="preserve">The </w:t>
      </w:r>
      <w:r>
        <w:rPr>
          <w:lang w:val="en-US"/>
        </w:rPr>
        <w:t>Wetland Management in the Settled Area of Alberta: An interim Policy</w:t>
      </w:r>
      <w:r>
        <w:rPr>
          <w:lang w:val="en-US"/>
        </w:rPr>
        <w:t xml:space="preserve"> applied to half of Alberta</w:t>
      </w:r>
      <w:r w:rsidR="00113C25">
        <w:rPr>
          <w:lang w:val="en-US"/>
        </w:rPr>
        <w:t xml:space="preserve"> lands</w:t>
      </w:r>
      <w:r>
        <w:rPr>
          <w:lang w:val="en-US"/>
        </w:rPr>
        <w:t xml:space="preserve">. This means wetlands in the other half of Alberta </w:t>
      </w:r>
      <w:r w:rsidR="005A4C82">
        <w:rPr>
          <w:lang w:val="en-US"/>
        </w:rPr>
        <w:t xml:space="preserve">(Green region) </w:t>
      </w:r>
      <w:r>
        <w:rPr>
          <w:lang w:val="en-US"/>
        </w:rPr>
        <w:t xml:space="preserve">had no </w:t>
      </w:r>
      <w:r>
        <w:rPr>
          <w:lang w:val="en-US"/>
        </w:rPr>
        <w:lastRenderedPageBreak/>
        <w:t xml:space="preserve">protection from drainage. </w:t>
      </w:r>
      <w:r w:rsidR="009C2609">
        <w:rPr>
          <w:lang w:val="en-US"/>
        </w:rPr>
        <w:t>Other policies, acts and regulations work</w:t>
      </w:r>
      <w:r w:rsidR="005A4C82">
        <w:rPr>
          <w:lang w:val="en-US"/>
        </w:rPr>
        <w:t>ed</w:t>
      </w:r>
      <w:r w:rsidR="009C2609">
        <w:rPr>
          <w:lang w:val="en-US"/>
        </w:rPr>
        <w:t xml:space="preserve"> in concert to protect wetlands in the Green areas of Alberta (or Crown lands). </w:t>
      </w:r>
      <w:r>
        <w:rPr>
          <w:lang w:val="en-US"/>
        </w:rPr>
        <w:t xml:space="preserve"> </w:t>
      </w:r>
      <w:r w:rsidR="009C2609">
        <w:rPr>
          <w:lang w:val="en-US"/>
        </w:rPr>
        <w:t xml:space="preserve">The Water Act </w:t>
      </w:r>
      <w:r w:rsidR="005A4C82">
        <w:rPr>
          <w:lang w:val="en-US"/>
        </w:rPr>
        <w:t>regulates an</w:t>
      </w:r>
      <w:r w:rsidR="00F813E9">
        <w:rPr>
          <w:lang w:val="en-US"/>
        </w:rPr>
        <w:t xml:space="preserve">y activity that disturbs or degrades a wetland </w:t>
      </w:r>
      <w:r w:rsidR="005A4C82">
        <w:rPr>
          <w:lang w:val="en-US"/>
        </w:rPr>
        <w:t>through</w:t>
      </w:r>
      <w:r w:rsidR="00F813E9">
        <w:rPr>
          <w:lang w:val="en-US"/>
        </w:rPr>
        <w:t xml:space="preserve"> a permit system (Clare and Krogman, 2013). </w:t>
      </w:r>
      <w:r w:rsidR="002B1118">
        <w:rPr>
          <w:lang w:val="en-US"/>
        </w:rPr>
        <w:t xml:space="preserve">Under this Act, the government of Alberta or the Crown has the right to all water bodies, including wetlands, in Alberta. </w:t>
      </w:r>
      <w:r w:rsidR="00C33A66">
        <w:rPr>
          <w:lang w:val="en-US"/>
        </w:rPr>
        <w:t>The primary goal of the Act is to “support and promote the conservation and management of water, including the wise allocation and use of water” (</w:t>
      </w:r>
      <w:r w:rsidR="00C25E0A">
        <w:rPr>
          <w:lang w:val="en-US"/>
        </w:rPr>
        <w:t>Government of Alberta, 2021). The Public Lands Act provides the legal basis for the governance of public lands in Alberta, which is about 60% of the land area of Alberta (</w:t>
      </w:r>
      <w:r w:rsidR="005222FC">
        <w:rPr>
          <w:lang w:val="en-US"/>
        </w:rPr>
        <w:t>Government of Alberta, 2015)</w:t>
      </w:r>
      <w:r w:rsidR="00C25E0A">
        <w:rPr>
          <w:lang w:val="en-US"/>
        </w:rPr>
        <w:t xml:space="preserve">. </w:t>
      </w:r>
      <w:r w:rsidR="005222FC" w:rsidRPr="005222FC">
        <w:rPr>
          <w:lang w:val="en-US"/>
        </w:rPr>
        <w:t>E</w:t>
      </w:r>
      <w:r w:rsidR="005222FC" w:rsidRPr="005222FC">
        <w:rPr>
          <w:lang w:val="en-US"/>
        </w:rPr>
        <w:t>nvironmental</w:t>
      </w:r>
      <w:r w:rsidR="005222FC" w:rsidRPr="005222FC">
        <w:rPr>
          <w:lang w:val="en-US"/>
        </w:rPr>
        <w:t xml:space="preserve"> </w:t>
      </w:r>
      <w:r w:rsidR="00BF52EC">
        <w:rPr>
          <w:lang w:val="en-US"/>
        </w:rPr>
        <w:t>P</w:t>
      </w:r>
      <w:r w:rsidR="005222FC" w:rsidRPr="005222FC">
        <w:rPr>
          <w:lang w:val="en-US"/>
        </w:rPr>
        <w:t xml:space="preserve">rotection and </w:t>
      </w:r>
      <w:r w:rsidR="00BF52EC">
        <w:rPr>
          <w:lang w:val="en-US"/>
        </w:rPr>
        <w:t>E</w:t>
      </w:r>
      <w:r w:rsidR="005222FC" w:rsidRPr="005222FC">
        <w:rPr>
          <w:lang w:val="en-US"/>
        </w:rPr>
        <w:t xml:space="preserve">nhancement </w:t>
      </w:r>
      <w:r w:rsidR="00BF52EC">
        <w:rPr>
          <w:lang w:val="en-US"/>
        </w:rPr>
        <w:t>A</w:t>
      </w:r>
      <w:r w:rsidR="005222FC" w:rsidRPr="005222FC">
        <w:rPr>
          <w:lang w:val="en-US"/>
        </w:rPr>
        <w:t>ct</w:t>
      </w:r>
      <w:r w:rsidR="00BF52EC">
        <w:rPr>
          <w:lang w:val="en-US"/>
        </w:rPr>
        <w:t xml:space="preserve"> provides the regulatory framework for the management of air, water, </w:t>
      </w:r>
      <w:r w:rsidR="005A4C82">
        <w:rPr>
          <w:lang w:val="en-US"/>
        </w:rPr>
        <w:t>land,</w:t>
      </w:r>
      <w:r w:rsidR="00BF52EC">
        <w:rPr>
          <w:lang w:val="en-US"/>
        </w:rPr>
        <w:t xml:space="preserve"> and biodiversity in Alberta towards the protection, </w:t>
      </w:r>
      <w:r w:rsidR="005A4C82">
        <w:rPr>
          <w:lang w:val="en-US"/>
        </w:rPr>
        <w:t>enhancement,</w:t>
      </w:r>
      <w:r w:rsidR="00BF52EC">
        <w:rPr>
          <w:lang w:val="en-US"/>
        </w:rPr>
        <w:t xml:space="preserve"> and wise use of environmental resources. </w:t>
      </w:r>
      <w:r w:rsidR="00A633DE">
        <w:rPr>
          <w:lang w:val="en-US"/>
        </w:rPr>
        <w:t xml:space="preserve">All projects </w:t>
      </w:r>
      <w:r w:rsidR="005A4C82">
        <w:rPr>
          <w:lang w:val="en-US"/>
        </w:rPr>
        <w:t xml:space="preserve">impacting Alberta’s air, land and water environmental resources </w:t>
      </w:r>
      <w:r w:rsidR="00A633DE">
        <w:rPr>
          <w:lang w:val="en-US"/>
        </w:rPr>
        <w:t>are reviewed for their potential environmental impacts and are approved or denied. Specifically, the Act mandates that projects in the following groups</w:t>
      </w:r>
      <w:r w:rsidR="005A4C82">
        <w:rPr>
          <w:lang w:val="en-US"/>
        </w:rPr>
        <w:t>:</w:t>
      </w:r>
      <w:r w:rsidR="00A633DE">
        <w:rPr>
          <w:lang w:val="en-US"/>
        </w:rPr>
        <w:t xml:space="preserve"> conservation, potable (drinking) water, substance release, waste management and miscellaneous (pesticides</w:t>
      </w:r>
      <w:r w:rsidR="0036161C">
        <w:rPr>
          <w:lang w:val="en-US"/>
        </w:rPr>
        <w:t>, designated materials) must seek approval before their commencements (Government of Alberta, 2022). The overarching goal of</w:t>
      </w:r>
      <w:r w:rsidR="00BA4E88">
        <w:rPr>
          <w:lang w:val="en-US"/>
        </w:rPr>
        <w:t xml:space="preserve"> all </w:t>
      </w:r>
      <w:r w:rsidR="0036161C">
        <w:rPr>
          <w:lang w:val="en-US"/>
        </w:rPr>
        <w:t>the Acts above is to protect the environment, including wetlands, for sustainable development in Alberta.</w:t>
      </w:r>
    </w:p>
    <w:p w14:paraId="19B5A418" w14:textId="77777777" w:rsidR="00C23050" w:rsidRDefault="0036161C" w:rsidP="00A2555C">
      <w:pPr>
        <w:spacing w:line="480" w:lineRule="auto"/>
        <w:rPr>
          <w:lang w:val="en-US"/>
        </w:rPr>
      </w:pPr>
      <w:r>
        <w:rPr>
          <w:lang w:val="en-US"/>
        </w:rPr>
        <w:tab/>
        <w:t>The Alberta Wetland Policy</w:t>
      </w:r>
      <w:r w:rsidR="00A33D2E">
        <w:rPr>
          <w:lang w:val="en-US"/>
        </w:rPr>
        <w:t xml:space="preserve"> </w:t>
      </w:r>
      <w:r>
        <w:rPr>
          <w:lang w:val="en-US"/>
        </w:rPr>
        <w:t xml:space="preserve">provides unifying framework that brings together all the </w:t>
      </w:r>
      <w:r w:rsidR="00A33D2E">
        <w:rPr>
          <w:lang w:val="en-US"/>
        </w:rPr>
        <w:t xml:space="preserve">Acts discussed about to specifically protect wetlands in all areas of Alberta (Green and White regions). This is important because the province by this policy has acknowledged and placed wetland ecosystems into a distinct environmental resource </w:t>
      </w:r>
      <w:r w:rsidR="00BA4E88">
        <w:rPr>
          <w:lang w:val="en-US"/>
        </w:rPr>
        <w:t xml:space="preserve">category </w:t>
      </w:r>
      <w:r w:rsidR="00A33D2E">
        <w:rPr>
          <w:lang w:val="en-US"/>
        </w:rPr>
        <w:t xml:space="preserve">that needs protection. </w:t>
      </w:r>
      <w:r w:rsidR="00B41259">
        <w:rPr>
          <w:lang w:val="en-US"/>
        </w:rPr>
        <w:t>The policy supports th</w:t>
      </w:r>
      <w:r w:rsidR="00BA4E88">
        <w:rPr>
          <w:lang w:val="en-US"/>
        </w:rPr>
        <w:t>e</w:t>
      </w:r>
      <w:r w:rsidR="00B41259">
        <w:rPr>
          <w:lang w:val="en-US"/>
        </w:rPr>
        <w:t xml:space="preserve"> avoid</w:t>
      </w:r>
      <w:r w:rsidR="00BA4E88">
        <w:rPr>
          <w:lang w:val="en-US"/>
        </w:rPr>
        <w:t>ance</w:t>
      </w:r>
      <w:r w:rsidR="00B41259">
        <w:rPr>
          <w:lang w:val="en-US"/>
        </w:rPr>
        <w:t xml:space="preserve">, </w:t>
      </w:r>
      <w:r w:rsidR="005F768E">
        <w:rPr>
          <w:lang w:val="en-US"/>
        </w:rPr>
        <w:t>m</w:t>
      </w:r>
      <w:r w:rsidR="00952DFF">
        <w:rPr>
          <w:lang w:val="en-US"/>
        </w:rPr>
        <w:t>inimization</w:t>
      </w:r>
      <w:r w:rsidR="005F768E">
        <w:rPr>
          <w:lang w:val="en-US"/>
        </w:rPr>
        <w:t>,</w:t>
      </w:r>
      <w:r w:rsidR="00B41259">
        <w:rPr>
          <w:lang w:val="en-US"/>
        </w:rPr>
        <w:t xml:space="preserve"> and restor</w:t>
      </w:r>
      <w:r w:rsidR="00BA4E88">
        <w:rPr>
          <w:lang w:val="en-US"/>
        </w:rPr>
        <w:t>ation</w:t>
      </w:r>
      <w:r w:rsidR="00B41259">
        <w:rPr>
          <w:lang w:val="en-US"/>
        </w:rPr>
        <w:t xml:space="preserve"> rule of wetland protection. </w:t>
      </w:r>
      <w:r w:rsidR="00BA4E88">
        <w:rPr>
          <w:lang w:val="en-US"/>
        </w:rPr>
        <w:t>A</w:t>
      </w:r>
      <w:r w:rsidR="00B41259">
        <w:rPr>
          <w:lang w:val="en-US"/>
        </w:rPr>
        <w:t>void</w:t>
      </w:r>
      <w:r w:rsidR="00BA4E88">
        <w:rPr>
          <w:lang w:val="en-US"/>
        </w:rPr>
        <w:t xml:space="preserve">ance </w:t>
      </w:r>
      <w:r w:rsidR="00B41259">
        <w:rPr>
          <w:lang w:val="en-US"/>
        </w:rPr>
        <w:t xml:space="preserve">means </w:t>
      </w:r>
      <w:r w:rsidR="007E71D2">
        <w:rPr>
          <w:lang w:val="en-US"/>
        </w:rPr>
        <w:t>that,</w:t>
      </w:r>
      <w:r w:rsidR="00B41259">
        <w:rPr>
          <w:lang w:val="en-US"/>
        </w:rPr>
        <w:t xml:space="preserve"> if </w:t>
      </w:r>
      <w:r w:rsidR="005F768E">
        <w:rPr>
          <w:lang w:val="en-US"/>
        </w:rPr>
        <w:t>possible,</w:t>
      </w:r>
      <w:r w:rsidR="00B41259">
        <w:rPr>
          <w:lang w:val="en-US"/>
        </w:rPr>
        <w:t xml:space="preserve"> all activities that may alter wetlands</w:t>
      </w:r>
      <w:r w:rsidR="00BA4E88">
        <w:rPr>
          <w:lang w:val="en-US"/>
        </w:rPr>
        <w:t>’ ecosystem</w:t>
      </w:r>
      <w:r w:rsidR="00B41259">
        <w:rPr>
          <w:lang w:val="en-US"/>
        </w:rPr>
        <w:t xml:space="preserve"> must be </w:t>
      </w:r>
      <w:r w:rsidR="00B41259">
        <w:rPr>
          <w:lang w:val="en-US"/>
        </w:rPr>
        <w:lastRenderedPageBreak/>
        <w:t>avoided; mi</w:t>
      </w:r>
      <w:r w:rsidR="00952DFF">
        <w:rPr>
          <w:lang w:val="en-US"/>
        </w:rPr>
        <w:t>nimization</w:t>
      </w:r>
      <w:r w:rsidR="00BA4E88">
        <w:rPr>
          <w:lang w:val="en-US"/>
        </w:rPr>
        <w:t xml:space="preserve"> </w:t>
      </w:r>
      <w:r w:rsidR="00B41259">
        <w:rPr>
          <w:lang w:val="en-US"/>
        </w:rPr>
        <w:t xml:space="preserve">means that if avoidance is not possible, the </w:t>
      </w:r>
      <w:r w:rsidR="005F768E">
        <w:rPr>
          <w:lang w:val="en-US"/>
        </w:rPr>
        <w:t>potential devastation to the ecosystem must be mi</w:t>
      </w:r>
      <w:r w:rsidR="00952DFF">
        <w:rPr>
          <w:lang w:val="en-US"/>
        </w:rPr>
        <w:t>nimized</w:t>
      </w:r>
      <w:r w:rsidR="005F768E">
        <w:rPr>
          <w:lang w:val="en-US"/>
        </w:rPr>
        <w:t xml:space="preserve"> through activities such as best management practices; restor</w:t>
      </w:r>
      <w:r w:rsidR="00BA4E88">
        <w:rPr>
          <w:lang w:val="en-US"/>
        </w:rPr>
        <w:t>ation</w:t>
      </w:r>
      <w:r w:rsidR="005F768E">
        <w:rPr>
          <w:lang w:val="en-US"/>
        </w:rPr>
        <w:t xml:space="preserve"> means that if </w:t>
      </w:r>
      <w:r w:rsidR="00952DFF">
        <w:rPr>
          <w:lang w:val="en-US"/>
        </w:rPr>
        <w:t xml:space="preserve">avoidance and minimization are not possible, </w:t>
      </w:r>
      <w:r w:rsidR="005F768E">
        <w:rPr>
          <w:lang w:val="en-US"/>
        </w:rPr>
        <w:t>wetland</w:t>
      </w:r>
      <w:r w:rsidR="00952DFF">
        <w:rPr>
          <w:lang w:val="en-US"/>
        </w:rPr>
        <w:t xml:space="preserve"> areas or portions thereof that are degraded</w:t>
      </w:r>
      <w:r w:rsidR="0007313C">
        <w:rPr>
          <w:lang w:val="en-US"/>
        </w:rPr>
        <w:t xml:space="preserve"> must be replaced. </w:t>
      </w:r>
    </w:p>
    <w:p w14:paraId="0D5A3E8E" w14:textId="3C91CD34" w:rsidR="00C23050" w:rsidRDefault="008D3FB9" w:rsidP="00C23050">
      <w:pPr>
        <w:spacing w:line="480" w:lineRule="auto"/>
        <w:ind w:firstLine="720"/>
        <w:rPr>
          <w:lang w:val="en-US"/>
        </w:rPr>
      </w:pPr>
      <w:r>
        <w:rPr>
          <w:lang w:val="en-US"/>
        </w:rPr>
        <w:t xml:space="preserve">Wetland </w:t>
      </w:r>
      <w:r w:rsidR="0007313C">
        <w:rPr>
          <w:lang w:val="en-US"/>
        </w:rPr>
        <w:t>replace</w:t>
      </w:r>
      <w:r>
        <w:rPr>
          <w:lang w:val="en-US"/>
        </w:rPr>
        <w:t>ment</w:t>
      </w:r>
      <w:r w:rsidR="0007313C">
        <w:rPr>
          <w:lang w:val="en-US"/>
        </w:rPr>
        <w:t xml:space="preserve"> requirements are influenced by the wetland area loss and relative value of that area (Government of Alberta, 2013). </w:t>
      </w:r>
      <w:r>
        <w:rPr>
          <w:lang w:val="en-US"/>
        </w:rPr>
        <w:t xml:space="preserve">Wetland values are classified into </w:t>
      </w:r>
      <w:r w:rsidR="00EC7A96" w:rsidRPr="00C15939">
        <w:rPr>
          <w:bCs/>
        </w:rPr>
        <w:t>A, B, C or D</w:t>
      </w:r>
      <w:r w:rsidR="00EC7A96">
        <w:rPr>
          <w:bCs/>
        </w:rPr>
        <w:t xml:space="preserve"> scales; </w:t>
      </w:r>
      <w:r w:rsidR="00EC7A96" w:rsidRPr="00C15939">
        <w:rPr>
          <w:bCs/>
        </w:rPr>
        <w:t>whereby A has the highest ecosystem values and D has the lowest ecosystem values</w:t>
      </w:r>
      <w:r w:rsidR="00EC7A96">
        <w:rPr>
          <w:bCs/>
        </w:rPr>
        <w:t xml:space="preserve"> reflecting </w:t>
      </w:r>
      <w:r w:rsidR="00EC7A96" w:rsidRPr="00C15939">
        <w:rPr>
          <w:bCs/>
        </w:rPr>
        <w:t xml:space="preserve">hydrological health function, water quality function, ecological health function, and human use function </w:t>
      </w:r>
      <w:r w:rsidR="00EC7A96">
        <w:rPr>
          <w:bCs/>
        </w:rPr>
        <w:t>of</w:t>
      </w:r>
      <w:r w:rsidR="00EC7A96" w:rsidRPr="00C15939">
        <w:rPr>
          <w:bCs/>
        </w:rPr>
        <w:t xml:space="preserve"> wetlands</w:t>
      </w:r>
      <w:r w:rsidR="00EC7A96">
        <w:rPr>
          <w:bCs/>
        </w:rPr>
        <w:t xml:space="preserve"> (Asare et al. 2021)</w:t>
      </w:r>
      <w:r w:rsidR="00EC7A96" w:rsidRPr="00C15939">
        <w:rPr>
          <w:bCs/>
        </w:rPr>
        <w:t xml:space="preserve">. </w:t>
      </w:r>
      <w:r w:rsidR="00EC7A96">
        <w:rPr>
          <w:bCs/>
        </w:rPr>
        <w:t>As the names of the characteristic imply, the RWV measures ecosystem functions not ecosystem services that can form the basis for monetary valuation. Lacking more detailed information on ecosystem services, we use the RVW metric as a proxy.</w:t>
      </w:r>
      <w:r w:rsidR="0007313C">
        <w:rPr>
          <w:lang w:val="en-US"/>
        </w:rPr>
        <w:t xml:space="preserve">An agent who has degraded a wetland area or portions of it can choose to pay an in-lieu payment, which is a financial cost that will act as a restitution for the loss wetland area and its functions; alternatively, the agent may choose </w:t>
      </w:r>
      <w:r>
        <w:rPr>
          <w:lang w:val="en-US"/>
        </w:rPr>
        <w:t>the permittee-responsible replacement, which involves the actual replacement of the wetland area and functions according to the requirements of Government of Alberta</w:t>
      </w:r>
      <w:r w:rsidR="0007313C">
        <w:rPr>
          <w:lang w:val="en-US"/>
        </w:rPr>
        <w:t xml:space="preserve"> </w:t>
      </w:r>
      <w:r w:rsidR="0007313C">
        <w:rPr>
          <w:lang w:val="en-US"/>
        </w:rPr>
        <w:t>(Government of Alberta, 2013).</w:t>
      </w:r>
      <w:r>
        <w:rPr>
          <w:lang w:val="en-US"/>
        </w:rPr>
        <w:t xml:space="preserve"> Further, with the </w:t>
      </w:r>
      <w:r>
        <w:rPr>
          <w:lang w:val="en-US"/>
        </w:rPr>
        <w:t>permittee-responsible replacement</w:t>
      </w:r>
      <w:r>
        <w:rPr>
          <w:lang w:val="en-US"/>
        </w:rPr>
        <w:t xml:space="preserve"> option, the agent must follow replacement ratios (Table 1) to know the area of wetland to restore for a given value of loss wetland area</w:t>
      </w:r>
      <w:r w:rsidR="0007313C">
        <w:rPr>
          <w:lang w:val="en-US"/>
        </w:rPr>
        <w:t xml:space="preserve">. </w:t>
      </w:r>
      <w:r w:rsidR="00EC7A96">
        <w:rPr>
          <w:lang w:val="en-US"/>
        </w:rPr>
        <w:t xml:space="preserve">For instance, if an acre of a class A is degraded, an agent will need about 8 acres of class D wetlands to replace it; this mechanism will ensure that </w:t>
      </w:r>
      <w:r w:rsidR="003F0202">
        <w:rPr>
          <w:lang w:val="en-US"/>
        </w:rPr>
        <w:t xml:space="preserve">Alberta’s highest valued wetlands are protected for sustainable development (Government of Alberta, 2013). </w:t>
      </w:r>
    </w:p>
    <w:p w14:paraId="407A1ACF" w14:textId="77777777" w:rsidR="00C23050" w:rsidRDefault="00C23050">
      <w:pPr>
        <w:spacing w:after="160" w:line="259" w:lineRule="auto"/>
        <w:rPr>
          <w:lang w:val="en-US"/>
        </w:rPr>
      </w:pPr>
      <w:r>
        <w:rPr>
          <w:lang w:val="en-US"/>
        </w:rPr>
        <w:br w:type="page"/>
      </w:r>
    </w:p>
    <w:p w14:paraId="2673D1F7" w14:textId="500C58E9" w:rsidR="00C23050" w:rsidRPr="003B47CC" w:rsidRDefault="003B47CC" w:rsidP="003B47CC">
      <w:pPr>
        <w:spacing w:line="480" w:lineRule="auto"/>
        <w:rPr>
          <w:b/>
          <w:bCs/>
          <w:lang w:val="en-US"/>
        </w:rPr>
      </w:pPr>
      <w:r w:rsidRPr="003B47CC">
        <w:rPr>
          <w:b/>
          <w:bCs/>
          <w:lang w:val="en-US"/>
        </w:rPr>
        <w:lastRenderedPageBreak/>
        <w:t>Table 1. The Wetland Replacement Matrix</w:t>
      </w:r>
    </w:p>
    <w:tbl>
      <w:tblPr>
        <w:tblStyle w:val="TableGrid"/>
        <w:tblW w:w="0" w:type="auto"/>
        <w:tblLook w:val="04A0" w:firstRow="1" w:lastRow="0" w:firstColumn="1" w:lastColumn="0" w:noHBand="0" w:noVBand="1"/>
      </w:tblPr>
      <w:tblGrid>
        <w:gridCol w:w="2547"/>
        <w:gridCol w:w="1559"/>
        <w:gridCol w:w="1559"/>
        <w:gridCol w:w="1276"/>
        <w:gridCol w:w="1276"/>
        <w:gridCol w:w="1133"/>
      </w:tblGrid>
      <w:tr w:rsidR="00C23050" w14:paraId="4DED947A" w14:textId="77777777" w:rsidTr="00C23050">
        <w:tc>
          <w:tcPr>
            <w:tcW w:w="2547" w:type="dxa"/>
          </w:tcPr>
          <w:p w14:paraId="018E2579" w14:textId="77777777" w:rsidR="00C23050" w:rsidRDefault="00C23050" w:rsidP="005F768E">
            <w:pPr>
              <w:spacing w:line="480" w:lineRule="auto"/>
              <w:rPr>
                <w:lang w:val="en-US"/>
              </w:rPr>
            </w:pPr>
          </w:p>
        </w:tc>
        <w:tc>
          <w:tcPr>
            <w:tcW w:w="6803" w:type="dxa"/>
            <w:gridSpan w:val="5"/>
          </w:tcPr>
          <w:p w14:paraId="4AF5ACA8" w14:textId="0D98C0BD" w:rsidR="00C23050" w:rsidRPr="00C23050" w:rsidRDefault="00C23050" w:rsidP="00C23050">
            <w:pPr>
              <w:spacing w:line="480" w:lineRule="auto"/>
              <w:jc w:val="center"/>
              <w:rPr>
                <w:b/>
                <w:bCs/>
                <w:lang w:val="en-US"/>
              </w:rPr>
            </w:pPr>
            <w:r w:rsidRPr="00C23050">
              <w:rPr>
                <w:b/>
                <w:bCs/>
                <w:lang w:val="en-US"/>
              </w:rPr>
              <w:t>Value of Replacement Wetland</w:t>
            </w:r>
          </w:p>
        </w:tc>
      </w:tr>
      <w:tr w:rsidR="00C23050" w14:paraId="17B277A2" w14:textId="77777777" w:rsidTr="00C23050">
        <w:tc>
          <w:tcPr>
            <w:tcW w:w="2547" w:type="dxa"/>
            <w:vMerge w:val="restart"/>
          </w:tcPr>
          <w:p w14:paraId="1089CE9A" w14:textId="77777777" w:rsidR="00C23050" w:rsidRDefault="00C23050" w:rsidP="00C23050">
            <w:pPr>
              <w:spacing w:line="480" w:lineRule="auto"/>
              <w:jc w:val="center"/>
              <w:rPr>
                <w:lang w:val="en-US"/>
              </w:rPr>
            </w:pPr>
          </w:p>
          <w:p w14:paraId="3284832F" w14:textId="77777777" w:rsidR="00C23050" w:rsidRDefault="00C23050" w:rsidP="00C23050">
            <w:pPr>
              <w:spacing w:line="480" w:lineRule="auto"/>
              <w:jc w:val="center"/>
              <w:rPr>
                <w:lang w:val="en-US"/>
              </w:rPr>
            </w:pPr>
          </w:p>
          <w:p w14:paraId="2E65F84B" w14:textId="20A964FD" w:rsidR="00C23050" w:rsidRPr="00C23050" w:rsidRDefault="00C23050" w:rsidP="00C23050">
            <w:pPr>
              <w:spacing w:line="480" w:lineRule="auto"/>
              <w:jc w:val="center"/>
              <w:rPr>
                <w:b/>
                <w:bCs/>
                <w:lang w:val="en-US"/>
              </w:rPr>
            </w:pPr>
            <w:r w:rsidRPr="00C23050">
              <w:rPr>
                <w:b/>
                <w:bCs/>
                <w:lang w:val="en-US"/>
              </w:rPr>
              <w:t>Value of Lost Wetland</w:t>
            </w:r>
          </w:p>
        </w:tc>
        <w:tc>
          <w:tcPr>
            <w:tcW w:w="1559" w:type="dxa"/>
          </w:tcPr>
          <w:p w14:paraId="18F32546" w14:textId="77777777" w:rsidR="00C23050" w:rsidRDefault="00C23050" w:rsidP="005F768E">
            <w:pPr>
              <w:spacing w:line="480" w:lineRule="auto"/>
              <w:rPr>
                <w:lang w:val="en-US"/>
              </w:rPr>
            </w:pPr>
          </w:p>
        </w:tc>
        <w:tc>
          <w:tcPr>
            <w:tcW w:w="1559" w:type="dxa"/>
          </w:tcPr>
          <w:p w14:paraId="42E9A19B" w14:textId="36F0D215" w:rsidR="00C23050" w:rsidRDefault="003B47CC" w:rsidP="003B47CC">
            <w:pPr>
              <w:spacing w:line="480" w:lineRule="auto"/>
              <w:jc w:val="center"/>
              <w:rPr>
                <w:lang w:val="en-US"/>
              </w:rPr>
            </w:pPr>
            <w:r>
              <w:rPr>
                <w:lang w:val="en-US"/>
              </w:rPr>
              <w:t>A</w:t>
            </w:r>
          </w:p>
        </w:tc>
        <w:tc>
          <w:tcPr>
            <w:tcW w:w="1276" w:type="dxa"/>
          </w:tcPr>
          <w:p w14:paraId="17E99379" w14:textId="4FB85335" w:rsidR="00C23050" w:rsidRDefault="003B47CC" w:rsidP="003B47CC">
            <w:pPr>
              <w:spacing w:line="480" w:lineRule="auto"/>
              <w:jc w:val="center"/>
              <w:rPr>
                <w:lang w:val="en-US"/>
              </w:rPr>
            </w:pPr>
            <w:r>
              <w:rPr>
                <w:lang w:val="en-US"/>
              </w:rPr>
              <w:t>B</w:t>
            </w:r>
          </w:p>
        </w:tc>
        <w:tc>
          <w:tcPr>
            <w:tcW w:w="1276" w:type="dxa"/>
          </w:tcPr>
          <w:p w14:paraId="76CB4C77" w14:textId="6D5D0173" w:rsidR="00C23050" w:rsidRDefault="003B47CC" w:rsidP="003B47CC">
            <w:pPr>
              <w:spacing w:line="480" w:lineRule="auto"/>
              <w:jc w:val="center"/>
              <w:rPr>
                <w:lang w:val="en-US"/>
              </w:rPr>
            </w:pPr>
            <w:r>
              <w:rPr>
                <w:lang w:val="en-US"/>
              </w:rPr>
              <w:t>C</w:t>
            </w:r>
          </w:p>
        </w:tc>
        <w:tc>
          <w:tcPr>
            <w:tcW w:w="1133" w:type="dxa"/>
          </w:tcPr>
          <w:p w14:paraId="70416451" w14:textId="6407CF81" w:rsidR="00C23050" w:rsidRDefault="003B47CC" w:rsidP="003B47CC">
            <w:pPr>
              <w:spacing w:line="480" w:lineRule="auto"/>
              <w:jc w:val="center"/>
              <w:rPr>
                <w:lang w:val="en-US"/>
              </w:rPr>
            </w:pPr>
            <w:r>
              <w:rPr>
                <w:lang w:val="en-US"/>
              </w:rPr>
              <w:t>D</w:t>
            </w:r>
          </w:p>
        </w:tc>
      </w:tr>
      <w:tr w:rsidR="00C23050" w14:paraId="73136CC4" w14:textId="77777777" w:rsidTr="00C23050">
        <w:tc>
          <w:tcPr>
            <w:tcW w:w="2547" w:type="dxa"/>
            <w:vMerge/>
          </w:tcPr>
          <w:p w14:paraId="34A42D3C" w14:textId="77777777" w:rsidR="00C23050" w:rsidRDefault="00C23050" w:rsidP="005F768E">
            <w:pPr>
              <w:spacing w:line="480" w:lineRule="auto"/>
              <w:rPr>
                <w:lang w:val="en-US"/>
              </w:rPr>
            </w:pPr>
          </w:p>
        </w:tc>
        <w:tc>
          <w:tcPr>
            <w:tcW w:w="1559" w:type="dxa"/>
          </w:tcPr>
          <w:p w14:paraId="19683728" w14:textId="6BA072E7" w:rsidR="00C23050" w:rsidRDefault="00C23050" w:rsidP="003B47CC">
            <w:pPr>
              <w:spacing w:line="480" w:lineRule="auto"/>
              <w:jc w:val="center"/>
              <w:rPr>
                <w:lang w:val="en-US"/>
              </w:rPr>
            </w:pPr>
            <w:r>
              <w:rPr>
                <w:lang w:val="en-US"/>
              </w:rPr>
              <w:t>A</w:t>
            </w:r>
          </w:p>
        </w:tc>
        <w:tc>
          <w:tcPr>
            <w:tcW w:w="1559" w:type="dxa"/>
          </w:tcPr>
          <w:p w14:paraId="4E18C3A3" w14:textId="5B50E39F" w:rsidR="00C23050" w:rsidRDefault="003B47CC" w:rsidP="003B47CC">
            <w:pPr>
              <w:spacing w:line="480" w:lineRule="auto"/>
              <w:jc w:val="center"/>
              <w:rPr>
                <w:lang w:val="en-US"/>
              </w:rPr>
            </w:pPr>
            <w:r>
              <w:rPr>
                <w:lang w:val="en-US"/>
              </w:rPr>
              <w:t>8:1</w:t>
            </w:r>
          </w:p>
        </w:tc>
        <w:tc>
          <w:tcPr>
            <w:tcW w:w="1276" w:type="dxa"/>
          </w:tcPr>
          <w:p w14:paraId="27161058" w14:textId="069A67A0" w:rsidR="00C23050" w:rsidRDefault="003B47CC" w:rsidP="003B47CC">
            <w:pPr>
              <w:spacing w:line="480" w:lineRule="auto"/>
              <w:jc w:val="center"/>
              <w:rPr>
                <w:lang w:val="en-US"/>
              </w:rPr>
            </w:pPr>
            <w:r>
              <w:rPr>
                <w:lang w:val="en-US"/>
              </w:rPr>
              <w:t>4:1</w:t>
            </w:r>
          </w:p>
        </w:tc>
        <w:tc>
          <w:tcPr>
            <w:tcW w:w="1276" w:type="dxa"/>
          </w:tcPr>
          <w:p w14:paraId="147DC86D" w14:textId="14C05230" w:rsidR="00C23050" w:rsidRDefault="003B47CC" w:rsidP="003B47CC">
            <w:pPr>
              <w:spacing w:line="480" w:lineRule="auto"/>
              <w:jc w:val="center"/>
              <w:rPr>
                <w:lang w:val="en-US"/>
              </w:rPr>
            </w:pPr>
            <w:r>
              <w:rPr>
                <w:lang w:val="en-US"/>
              </w:rPr>
              <w:t>2:1</w:t>
            </w:r>
          </w:p>
        </w:tc>
        <w:tc>
          <w:tcPr>
            <w:tcW w:w="1133" w:type="dxa"/>
          </w:tcPr>
          <w:p w14:paraId="387EC9E0" w14:textId="1032AF67" w:rsidR="00C23050" w:rsidRDefault="003B47CC" w:rsidP="003B47CC">
            <w:pPr>
              <w:spacing w:line="480" w:lineRule="auto"/>
              <w:jc w:val="center"/>
              <w:rPr>
                <w:lang w:val="en-US"/>
              </w:rPr>
            </w:pPr>
            <w:r>
              <w:rPr>
                <w:lang w:val="en-US"/>
              </w:rPr>
              <w:t>1:1</w:t>
            </w:r>
          </w:p>
        </w:tc>
      </w:tr>
      <w:tr w:rsidR="00C23050" w14:paraId="37D84875" w14:textId="77777777" w:rsidTr="00C23050">
        <w:tc>
          <w:tcPr>
            <w:tcW w:w="2547" w:type="dxa"/>
            <w:vMerge/>
          </w:tcPr>
          <w:p w14:paraId="4B40859A" w14:textId="77777777" w:rsidR="00C23050" w:rsidRDefault="00C23050" w:rsidP="005F768E">
            <w:pPr>
              <w:spacing w:line="480" w:lineRule="auto"/>
              <w:rPr>
                <w:lang w:val="en-US"/>
              </w:rPr>
            </w:pPr>
          </w:p>
        </w:tc>
        <w:tc>
          <w:tcPr>
            <w:tcW w:w="1559" w:type="dxa"/>
          </w:tcPr>
          <w:p w14:paraId="05523C17" w14:textId="12DD85BB" w:rsidR="00C23050" w:rsidRDefault="00C23050" w:rsidP="003B47CC">
            <w:pPr>
              <w:spacing w:line="480" w:lineRule="auto"/>
              <w:jc w:val="center"/>
              <w:rPr>
                <w:lang w:val="en-US"/>
              </w:rPr>
            </w:pPr>
            <w:r>
              <w:rPr>
                <w:lang w:val="en-US"/>
              </w:rPr>
              <w:t>B</w:t>
            </w:r>
          </w:p>
        </w:tc>
        <w:tc>
          <w:tcPr>
            <w:tcW w:w="1559" w:type="dxa"/>
          </w:tcPr>
          <w:p w14:paraId="3ED7FB59" w14:textId="059F9EAC" w:rsidR="00C23050" w:rsidRDefault="003B47CC" w:rsidP="003B47CC">
            <w:pPr>
              <w:spacing w:line="480" w:lineRule="auto"/>
              <w:jc w:val="center"/>
              <w:rPr>
                <w:lang w:val="en-US"/>
              </w:rPr>
            </w:pPr>
            <w:r>
              <w:rPr>
                <w:lang w:val="en-US"/>
              </w:rPr>
              <w:t>4:1</w:t>
            </w:r>
          </w:p>
        </w:tc>
        <w:tc>
          <w:tcPr>
            <w:tcW w:w="1276" w:type="dxa"/>
          </w:tcPr>
          <w:p w14:paraId="7ED2599F" w14:textId="461ADC06" w:rsidR="00C23050" w:rsidRDefault="003B47CC" w:rsidP="003B47CC">
            <w:pPr>
              <w:spacing w:line="480" w:lineRule="auto"/>
              <w:jc w:val="center"/>
              <w:rPr>
                <w:lang w:val="en-US"/>
              </w:rPr>
            </w:pPr>
            <w:r>
              <w:rPr>
                <w:lang w:val="en-US"/>
              </w:rPr>
              <w:t>2:1</w:t>
            </w:r>
          </w:p>
        </w:tc>
        <w:tc>
          <w:tcPr>
            <w:tcW w:w="1276" w:type="dxa"/>
          </w:tcPr>
          <w:p w14:paraId="66C53639" w14:textId="10588B7A" w:rsidR="00C23050" w:rsidRDefault="003B47CC" w:rsidP="003B47CC">
            <w:pPr>
              <w:spacing w:line="480" w:lineRule="auto"/>
              <w:jc w:val="center"/>
              <w:rPr>
                <w:lang w:val="en-US"/>
              </w:rPr>
            </w:pPr>
            <w:r>
              <w:rPr>
                <w:lang w:val="en-US"/>
              </w:rPr>
              <w:t>1:1</w:t>
            </w:r>
          </w:p>
        </w:tc>
        <w:tc>
          <w:tcPr>
            <w:tcW w:w="1133" w:type="dxa"/>
          </w:tcPr>
          <w:p w14:paraId="36BE2683" w14:textId="3D88BB75" w:rsidR="00C23050" w:rsidRDefault="003B47CC" w:rsidP="003B47CC">
            <w:pPr>
              <w:spacing w:line="480" w:lineRule="auto"/>
              <w:jc w:val="center"/>
              <w:rPr>
                <w:lang w:val="en-US"/>
              </w:rPr>
            </w:pPr>
            <w:r>
              <w:rPr>
                <w:lang w:val="en-US"/>
              </w:rPr>
              <w:t>0.5:1</w:t>
            </w:r>
          </w:p>
        </w:tc>
      </w:tr>
      <w:tr w:rsidR="00C23050" w14:paraId="328B5D6E" w14:textId="77777777" w:rsidTr="00C23050">
        <w:tc>
          <w:tcPr>
            <w:tcW w:w="2547" w:type="dxa"/>
            <w:vMerge/>
          </w:tcPr>
          <w:p w14:paraId="7F60744F" w14:textId="77777777" w:rsidR="00C23050" w:rsidRDefault="00C23050" w:rsidP="005F768E">
            <w:pPr>
              <w:spacing w:line="480" w:lineRule="auto"/>
              <w:rPr>
                <w:lang w:val="en-US"/>
              </w:rPr>
            </w:pPr>
          </w:p>
        </w:tc>
        <w:tc>
          <w:tcPr>
            <w:tcW w:w="1559" w:type="dxa"/>
          </w:tcPr>
          <w:p w14:paraId="325B09AA" w14:textId="57600EAE" w:rsidR="00C23050" w:rsidRDefault="003B47CC" w:rsidP="003B47CC">
            <w:pPr>
              <w:spacing w:line="480" w:lineRule="auto"/>
              <w:jc w:val="center"/>
              <w:rPr>
                <w:lang w:val="en-US"/>
              </w:rPr>
            </w:pPr>
            <w:r>
              <w:rPr>
                <w:lang w:val="en-US"/>
              </w:rPr>
              <w:t>C</w:t>
            </w:r>
          </w:p>
        </w:tc>
        <w:tc>
          <w:tcPr>
            <w:tcW w:w="1559" w:type="dxa"/>
          </w:tcPr>
          <w:p w14:paraId="698E881C" w14:textId="08BF4C5A" w:rsidR="00C23050" w:rsidRDefault="003B47CC" w:rsidP="003B47CC">
            <w:pPr>
              <w:spacing w:line="480" w:lineRule="auto"/>
              <w:jc w:val="center"/>
              <w:rPr>
                <w:lang w:val="en-US"/>
              </w:rPr>
            </w:pPr>
            <w:r>
              <w:rPr>
                <w:lang w:val="en-US"/>
              </w:rPr>
              <w:t>2:1</w:t>
            </w:r>
          </w:p>
        </w:tc>
        <w:tc>
          <w:tcPr>
            <w:tcW w:w="1276" w:type="dxa"/>
          </w:tcPr>
          <w:p w14:paraId="1C0893B5" w14:textId="7F347A45" w:rsidR="00C23050" w:rsidRDefault="003B47CC" w:rsidP="003B47CC">
            <w:pPr>
              <w:spacing w:line="480" w:lineRule="auto"/>
              <w:jc w:val="center"/>
              <w:rPr>
                <w:lang w:val="en-US"/>
              </w:rPr>
            </w:pPr>
            <w:r>
              <w:rPr>
                <w:lang w:val="en-US"/>
              </w:rPr>
              <w:t>1:1</w:t>
            </w:r>
          </w:p>
        </w:tc>
        <w:tc>
          <w:tcPr>
            <w:tcW w:w="1276" w:type="dxa"/>
          </w:tcPr>
          <w:p w14:paraId="1017520F" w14:textId="7C827A15" w:rsidR="00C23050" w:rsidRDefault="003B47CC" w:rsidP="003B47CC">
            <w:pPr>
              <w:spacing w:line="480" w:lineRule="auto"/>
              <w:jc w:val="center"/>
              <w:rPr>
                <w:lang w:val="en-US"/>
              </w:rPr>
            </w:pPr>
            <w:r>
              <w:rPr>
                <w:lang w:val="en-US"/>
              </w:rPr>
              <w:t>0.5:1</w:t>
            </w:r>
          </w:p>
        </w:tc>
        <w:tc>
          <w:tcPr>
            <w:tcW w:w="1133" w:type="dxa"/>
          </w:tcPr>
          <w:p w14:paraId="69B3D1FA" w14:textId="134A3C68" w:rsidR="00C23050" w:rsidRDefault="003B47CC" w:rsidP="003B47CC">
            <w:pPr>
              <w:spacing w:line="480" w:lineRule="auto"/>
              <w:jc w:val="center"/>
              <w:rPr>
                <w:lang w:val="en-US"/>
              </w:rPr>
            </w:pPr>
            <w:r>
              <w:rPr>
                <w:lang w:val="en-US"/>
              </w:rPr>
              <w:t>0.25:1</w:t>
            </w:r>
          </w:p>
        </w:tc>
      </w:tr>
      <w:tr w:rsidR="00C23050" w14:paraId="2ED9CAAB" w14:textId="77777777" w:rsidTr="00C23050">
        <w:tc>
          <w:tcPr>
            <w:tcW w:w="2547" w:type="dxa"/>
            <w:vMerge/>
          </w:tcPr>
          <w:p w14:paraId="278C173C" w14:textId="77777777" w:rsidR="00C23050" w:rsidRDefault="00C23050" w:rsidP="005F768E">
            <w:pPr>
              <w:spacing w:line="480" w:lineRule="auto"/>
              <w:rPr>
                <w:lang w:val="en-US"/>
              </w:rPr>
            </w:pPr>
          </w:p>
        </w:tc>
        <w:tc>
          <w:tcPr>
            <w:tcW w:w="1559" w:type="dxa"/>
          </w:tcPr>
          <w:p w14:paraId="44641D35" w14:textId="1B200873" w:rsidR="00C23050" w:rsidRDefault="003B47CC" w:rsidP="003B47CC">
            <w:pPr>
              <w:spacing w:line="480" w:lineRule="auto"/>
              <w:jc w:val="center"/>
              <w:rPr>
                <w:lang w:val="en-US"/>
              </w:rPr>
            </w:pPr>
            <w:r>
              <w:rPr>
                <w:lang w:val="en-US"/>
              </w:rPr>
              <w:t>D</w:t>
            </w:r>
          </w:p>
        </w:tc>
        <w:tc>
          <w:tcPr>
            <w:tcW w:w="1559" w:type="dxa"/>
          </w:tcPr>
          <w:p w14:paraId="4FC14DE0" w14:textId="05A0B31E" w:rsidR="00C23050" w:rsidRDefault="003B47CC" w:rsidP="003B47CC">
            <w:pPr>
              <w:spacing w:line="480" w:lineRule="auto"/>
              <w:jc w:val="center"/>
              <w:rPr>
                <w:lang w:val="en-US"/>
              </w:rPr>
            </w:pPr>
            <w:r>
              <w:rPr>
                <w:lang w:val="en-US"/>
              </w:rPr>
              <w:t>1:1</w:t>
            </w:r>
          </w:p>
        </w:tc>
        <w:tc>
          <w:tcPr>
            <w:tcW w:w="1276" w:type="dxa"/>
          </w:tcPr>
          <w:p w14:paraId="45D55920" w14:textId="74F453BF" w:rsidR="00C23050" w:rsidRDefault="003B47CC" w:rsidP="003B47CC">
            <w:pPr>
              <w:spacing w:line="480" w:lineRule="auto"/>
              <w:jc w:val="center"/>
              <w:rPr>
                <w:lang w:val="en-US"/>
              </w:rPr>
            </w:pPr>
            <w:r>
              <w:rPr>
                <w:lang w:val="en-US"/>
              </w:rPr>
              <w:t>0.5:1</w:t>
            </w:r>
          </w:p>
        </w:tc>
        <w:tc>
          <w:tcPr>
            <w:tcW w:w="1276" w:type="dxa"/>
          </w:tcPr>
          <w:p w14:paraId="24C8F6CB" w14:textId="2A5B527B" w:rsidR="00C23050" w:rsidRDefault="003B47CC" w:rsidP="003B47CC">
            <w:pPr>
              <w:spacing w:line="480" w:lineRule="auto"/>
              <w:jc w:val="center"/>
              <w:rPr>
                <w:lang w:val="en-US"/>
              </w:rPr>
            </w:pPr>
            <w:r>
              <w:rPr>
                <w:lang w:val="en-US"/>
              </w:rPr>
              <w:t>0.25:1</w:t>
            </w:r>
          </w:p>
        </w:tc>
        <w:tc>
          <w:tcPr>
            <w:tcW w:w="1133" w:type="dxa"/>
          </w:tcPr>
          <w:p w14:paraId="4CB09F3D" w14:textId="498C6F40" w:rsidR="00C23050" w:rsidRDefault="003B47CC" w:rsidP="003B47CC">
            <w:pPr>
              <w:spacing w:line="480" w:lineRule="auto"/>
              <w:jc w:val="center"/>
              <w:rPr>
                <w:lang w:val="en-US"/>
              </w:rPr>
            </w:pPr>
            <w:r>
              <w:rPr>
                <w:lang w:val="en-US"/>
              </w:rPr>
              <w:t>0.125:1</w:t>
            </w:r>
          </w:p>
        </w:tc>
      </w:tr>
    </w:tbl>
    <w:p w14:paraId="005C01FB" w14:textId="4A3FA508" w:rsidR="00C23050" w:rsidRPr="003B47CC" w:rsidRDefault="003B47CC" w:rsidP="003B47CC">
      <w:pPr>
        <w:spacing w:line="480" w:lineRule="auto"/>
        <w:rPr>
          <w:b/>
          <w:bCs/>
          <w:lang w:val="en-US"/>
        </w:rPr>
      </w:pPr>
      <w:r w:rsidRPr="003B47CC">
        <w:rPr>
          <w:b/>
          <w:bCs/>
          <w:lang w:val="en-US"/>
        </w:rPr>
        <w:t>Source: Government of Alberta (2013</w:t>
      </w:r>
    </w:p>
    <w:p w14:paraId="73D3D108" w14:textId="276345A7" w:rsidR="000A0A5D" w:rsidRPr="00A2555C" w:rsidRDefault="000A0A5D" w:rsidP="005F768E">
      <w:pPr>
        <w:spacing w:line="480" w:lineRule="auto"/>
        <w:ind w:firstLine="720"/>
        <w:rPr>
          <w:lang w:val="en-US"/>
        </w:rPr>
      </w:pPr>
      <w:r>
        <w:rPr>
          <w:lang w:val="en-US"/>
        </w:rPr>
        <w:t>By the full implementation of the Alberta Wetland Policy all wetlands in the province will be protected from degradation. This will ensure that Albertans will continue to enjoy the essential services that wetlands provide, but at what cost, especially to agricultural sector in Alberta? In the next section, we will explore methods that can be used to estimate the cost of implementing the wetland policy to the agricultural producer.</w:t>
      </w:r>
    </w:p>
    <w:sectPr w:rsidR="000A0A5D" w:rsidRPr="00A255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020C"/>
    <w:multiLevelType w:val="hybridMultilevel"/>
    <w:tmpl w:val="90127AFA"/>
    <w:lvl w:ilvl="0" w:tplc="7BF01E80">
      <w:start w:val="1"/>
      <w:numFmt w:val="decimal"/>
      <w:lvlText w:val="%1."/>
      <w:lvlJc w:val="left"/>
      <w:pPr>
        <w:ind w:left="720" w:hanging="360"/>
      </w:pPr>
      <w:rPr>
        <w:rFonts w:hint="default"/>
        <w:b/>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17289B"/>
    <w:multiLevelType w:val="hybridMultilevel"/>
    <w:tmpl w:val="145C6D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DE5D22"/>
    <w:multiLevelType w:val="multilevel"/>
    <w:tmpl w:val="36E42B0C"/>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6C4C79"/>
    <w:multiLevelType w:val="hybridMultilevel"/>
    <w:tmpl w:val="88083EA2"/>
    <w:lvl w:ilvl="0" w:tplc="D6AAC42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D7927CE"/>
    <w:multiLevelType w:val="hybridMultilevel"/>
    <w:tmpl w:val="6FBC041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15A3390"/>
    <w:multiLevelType w:val="hybridMultilevel"/>
    <w:tmpl w:val="F460CABE"/>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EFF1507"/>
    <w:multiLevelType w:val="hybridMultilevel"/>
    <w:tmpl w:val="6062FEC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0892D9C"/>
    <w:multiLevelType w:val="hybridMultilevel"/>
    <w:tmpl w:val="0CBCF0B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8721269"/>
    <w:multiLevelType w:val="multilevel"/>
    <w:tmpl w:val="713C7E6A"/>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num w:numId="1">
    <w:abstractNumId w:val="0"/>
  </w:num>
  <w:num w:numId="2">
    <w:abstractNumId w:val="8"/>
  </w:num>
  <w:num w:numId="3">
    <w:abstractNumId w:val="6"/>
  </w:num>
  <w:num w:numId="4">
    <w:abstractNumId w:val="4"/>
  </w:num>
  <w:num w:numId="5">
    <w:abstractNumId w:val="7"/>
  </w:num>
  <w:num w:numId="6">
    <w:abstractNumId w:val="2"/>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3F"/>
    <w:rsid w:val="00017188"/>
    <w:rsid w:val="0007313C"/>
    <w:rsid w:val="000A0A5D"/>
    <w:rsid w:val="001006E2"/>
    <w:rsid w:val="00113C25"/>
    <w:rsid w:val="001A0F9D"/>
    <w:rsid w:val="001A1150"/>
    <w:rsid w:val="002B1118"/>
    <w:rsid w:val="003070FD"/>
    <w:rsid w:val="0036161C"/>
    <w:rsid w:val="003B47CC"/>
    <w:rsid w:val="003F0202"/>
    <w:rsid w:val="00406694"/>
    <w:rsid w:val="005222FC"/>
    <w:rsid w:val="005A4C82"/>
    <w:rsid w:val="005E1282"/>
    <w:rsid w:val="005F768E"/>
    <w:rsid w:val="007E71D2"/>
    <w:rsid w:val="00857168"/>
    <w:rsid w:val="008D3FB9"/>
    <w:rsid w:val="00907E99"/>
    <w:rsid w:val="009124F1"/>
    <w:rsid w:val="00952DFF"/>
    <w:rsid w:val="009C2609"/>
    <w:rsid w:val="00A2555C"/>
    <w:rsid w:val="00A33D2E"/>
    <w:rsid w:val="00A633DE"/>
    <w:rsid w:val="00A70839"/>
    <w:rsid w:val="00B41259"/>
    <w:rsid w:val="00BA4E88"/>
    <w:rsid w:val="00BF52EC"/>
    <w:rsid w:val="00C23050"/>
    <w:rsid w:val="00C25E0A"/>
    <w:rsid w:val="00C33A66"/>
    <w:rsid w:val="00D04162"/>
    <w:rsid w:val="00D54693"/>
    <w:rsid w:val="00EC7A96"/>
    <w:rsid w:val="00F6303F"/>
    <w:rsid w:val="00F813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48DE"/>
  <w15:docId w15:val="{00424799-7C7B-4170-B3C1-532E64FB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03F"/>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03F"/>
    <w:pPr>
      <w:ind w:left="720"/>
      <w:contextualSpacing/>
    </w:pPr>
  </w:style>
  <w:style w:type="paragraph" w:styleId="NormalWeb">
    <w:name w:val="Normal (Web)"/>
    <w:basedOn w:val="Normal"/>
    <w:uiPriority w:val="99"/>
    <w:semiHidden/>
    <w:unhideWhenUsed/>
    <w:rsid w:val="00F6303F"/>
    <w:pPr>
      <w:spacing w:before="100" w:beforeAutospacing="1" w:after="100" w:afterAutospacing="1"/>
    </w:pPr>
  </w:style>
  <w:style w:type="character" w:styleId="Emphasis">
    <w:name w:val="Emphasis"/>
    <w:basedOn w:val="DefaultParagraphFont"/>
    <w:uiPriority w:val="20"/>
    <w:qFormat/>
    <w:rsid w:val="00F6303F"/>
    <w:rPr>
      <w:i/>
      <w:iCs/>
    </w:rPr>
  </w:style>
  <w:style w:type="character" w:styleId="Hyperlink">
    <w:name w:val="Hyperlink"/>
    <w:basedOn w:val="DefaultParagraphFont"/>
    <w:uiPriority w:val="99"/>
    <w:semiHidden/>
    <w:unhideWhenUsed/>
    <w:rsid w:val="00F6303F"/>
    <w:rPr>
      <w:color w:val="0000FF"/>
      <w:u w:val="single"/>
    </w:rPr>
  </w:style>
  <w:style w:type="table" w:styleId="TableGrid">
    <w:name w:val="Table Grid"/>
    <w:basedOn w:val="TableNormal"/>
    <w:uiPriority w:val="39"/>
    <w:rsid w:val="001A0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4</Pages>
  <Words>971</Words>
  <Characters>5383</Characters>
  <Application>Microsoft Office Word</Application>
  <DocSecurity>0</DocSecurity>
  <Lines>78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12</cp:revision>
  <dcterms:created xsi:type="dcterms:W3CDTF">2022-03-09T06:40:00Z</dcterms:created>
  <dcterms:modified xsi:type="dcterms:W3CDTF">2022-03-09T15:14:00Z</dcterms:modified>
</cp:coreProperties>
</file>