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A2A1" w14:textId="77777777" w:rsidR="00DC5E72" w:rsidRPr="00DC5E72" w:rsidRDefault="00DC5E72" w:rsidP="00DC5E7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Executive Summary: Immediate Pre-Freeze Banking Stress Across Two Anaerobic Strains</w:t>
      </w:r>
    </w:p>
    <w:p w14:paraId="3F40CA70" w14:textId="77777777" w:rsidR="00DC5E72" w:rsidRPr="00DC5E72" w:rsidRDefault="00DC5E72" w:rsidP="00DC5E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3A2FD42" w14:textId="11ACB68D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valuated whether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phase at banking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freezing-medium composition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 affect immediate regrowth of anaerobic bacteria after the standard banking workflow. Two strains were tested: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Bacteroides </w:t>
      </w:r>
      <w:proofErr w:type="spellStart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thetaiotaomicron</w:t>
      </w:r>
      <w:proofErr w:type="spellEnd"/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Fusicatenibacter</w:t>
      </w:r>
      <w:proofErr w:type="spellEnd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saccharivorans</w:t>
      </w:r>
      <w:proofErr w:type="spellEnd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FB100286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>. Cells were harvested at mid-log, late-log, or late stationary phase, exposed to freezing media for ~30 minutes at room temperature, and then assessed by OD600 growth curves across dilutions.</w:t>
      </w:r>
    </w:p>
    <w:p w14:paraId="0EDAAD43" w14:textId="77777777" w:rsid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This experiment measures the effect of the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pre-freeze handling window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 after glycerol addition, not long-term frozen survival.</w:t>
      </w:r>
    </w:p>
    <w:p w14:paraId="25117509" w14:textId="77777777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5A679" w14:textId="77777777" w:rsidR="00DC5E72" w:rsidRPr="00DC5E72" w:rsidRDefault="00DC5E72" w:rsidP="00DC5E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Findings</w:t>
      </w:r>
    </w:p>
    <w:p w14:paraId="03406693" w14:textId="77777777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>The 30-minute exposure to freezing media is not neutral. It can measurably affect regrowth before samples are ever frozen.</w:t>
      </w:r>
    </w:p>
    <w:p w14:paraId="58ABB732" w14:textId="77777777" w:rsidR="00DC5E72" w:rsidRPr="00DC5E72" w:rsidRDefault="00DC5E72" w:rsidP="00DC5E7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Across both strains,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glycerol in media was the most favorable condition tested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>. It generally supported faster and more consistent outgrowth than higher-glycerol conditions and avoids the added stress of placing cells into glycerol-water.</w:t>
      </w:r>
    </w:p>
    <w:p w14:paraId="4E9FCFEF" w14:textId="77777777" w:rsidR="00DC5E72" w:rsidRPr="00DC5E72" w:rsidRDefault="00DC5E72" w:rsidP="00DC5E7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 glycerol appeared more stressful than 15% glycerol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for B. </w:t>
      </w:r>
      <w:proofErr w:type="spellStart"/>
      <w:r w:rsidRPr="00DC5E72">
        <w:rPr>
          <w:rFonts w:ascii="Times New Roman" w:eastAsia="Times New Roman" w:hAnsi="Times New Roman" w:cs="Times New Roman"/>
          <w:kern w:val="0"/>
          <w14:ligatures w14:val="none"/>
        </w:rPr>
        <w:t>thetaiotaomicron</w:t>
      </w:r>
      <w:proofErr w:type="spellEnd"/>
      <w:r w:rsidRPr="00DC5E72">
        <w:rPr>
          <w:rFonts w:ascii="Times New Roman" w:eastAsia="Times New Roman" w:hAnsi="Times New Roman" w:cs="Times New Roman"/>
          <w:kern w:val="0"/>
          <w14:ligatures w14:val="none"/>
        </w:rPr>
        <w:t>. This is consistent with the fact that increasing glycerol from 15% to 25% v/v represents a large increase in solute/osmotic burden, not a minor formulation change.</w:t>
      </w:r>
    </w:p>
    <w:p w14:paraId="63F8DB57" w14:textId="5A9A5039" w:rsidR="00DC5E72" w:rsidRPr="00DC5E72" w:rsidRDefault="00DC5E72" w:rsidP="00DC5E7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The effect of growth phase was strain-dependent but important.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proofErr w:type="spellStart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thetaiotaomicron</w:t>
      </w:r>
      <w:proofErr w:type="spellEnd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showed strong sensitivity to banking condition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in log-phase cultures exposed to 25% glycerol.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F. </w:t>
      </w:r>
      <w:proofErr w:type="spellStart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saccharivorans</w:t>
      </w:r>
      <w:proofErr w:type="spellEnd"/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showed a weaker cryomedium effect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>, but late stationary-phase cultures regrew less robustly, suggesting that those cells may already have been entering a compromised/death-phase state before banking.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D037870" w14:textId="77777777" w:rsidR="00DC5E72" w:rsidRPr="00DC5E72" w:rsidRDefault="00DC5E72" w:rsidP="00DC5E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693046BD" w14:textId="77777777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>The data support a model where banking performance is driven by both:</w:t>
      </w:r>
    </w:p>
    <w:p w14:paraId="7C16A9A2" w14:textId="77777777" w:rsidR="00DC5E72" w:rsidRPr="00DC5E72" w:rsidRDefault="00DC5E72" w:rsidP="00DC5E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physiology at harvest</w:t>
      </w:r>
    </w:p>
    <w:p w14:paraId="0C76980D" w14:textId="77777777" w:rsidR="00DC5E72" w:rsidRPr="00DC5E72" w:rsidRDefault="00DC5E72" w:rsidP="00DC5E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Cryomedium-induced stress during the pre-freeze handling window</w:t>
      </w:r>
    </w:p>
    <w:p w14:paraId="3CB3E94A" w14:textId="6D046E40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Log-phase cells may have strong growth potential but can be vulnerable to sudden glycerol/osmotic stress. Late stationary cells may be more stress-adapted in some cases, but if held too long, they may already have reduced regrowth capacity. This points to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stationary phase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 as the likely optimal harvest window.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D09890F" w14:textId="77777777" w:rsidR="00DC5E72" w:rsidRPr="00DC5E72" w:rsidRDefault="00DC5E72" w:rsidP="00DC5E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Working Conclusion</w:t>
      </w:r>
    </w:p>
    <w:p w14:paraId="51DBE1BC" w14:textId="77777777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>The most promising general banking condition based on these data is:</w:t>
      </w:r>
    </w:p>
    <w:p w14:paraId="7B6FC89A" w14:textId="77777777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stationary-phase harvest + 15% glycerol prepared in growth media</w:t>
      </w:r>
    </w:p>
    <w:p w14:paraId="0A6FBDF3" w14:textId="77777777" w:rsidR="00DC5E72" w:rsidRPr="00DC5E72" w:rsidRDefault="00DC5E72" w:rsidP="00DC5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>This condition should reduce pre-freeze cryomedium shock while avoiding the reduced fitness seen in late stationary/death-phase cultures.</w:t>
      </w:r>
    </w:p>
    <w:p w14:paraId="7BD6CC72" w14:textId="7AB7E5F8" w:rsidR="00DC5E72" w:rsidRPr="00DC5E72" w:rsidRDefault="00DC5E72" w:rsidP="00DC5E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 w:rsidRPr="00DC5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</w:t>
      </w:r>
    </w:p>
    <w:p w14:paraId="7A6F40DA" w14:textId="4E5EAAB7" w:rsidR="00AC19F3" w:rsidRPr="006649F8" w:rsidRDefault="00DC5E72" w:rsidP="006649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conclusions should be tested against the matched samples stored for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 at -80°C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. If the same trends hold after freezing, the next focused experiment should compare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vs late stationary phase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, using </w:t>
      </w:r>
      <w:r w:rsidRPr="00DC5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glycerol in media</w:t>
      </w:r>
      <w:r w:rsidRPr="00DC5E72">
        <w:rPr>
          <w:rFonts w:ascii="Times New Roman" w:eastAsia="Times New Roman" w:hAnsi="Times New Roman" w:cs="Times New Roman"/>
          <w:kern w:val="0"/>
          <w14:ligatures w14:val="none"/>
        </w:rPr>
        <w:t xml:space="preserve"> as the primary cryomedium.</w:t>
      </w:r>
    </w:p>
    <w:sectPr w:rsidR="00AC19F3" w:rsidRPr="00664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833CC"/>
    <w:multiLevelType w:val="multilevel"/>
    <w:tmpl w:val="8D40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83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72"/>
    <w:rsid w:val="006649F8"/>
    <w:rsid w:val="006E7B21"/>
    <w:rsid w:val="00733945"/>
    <w:rsid w:val="008B2F72"/>
    <w:rsid w:val="00970DBD"/>
    <w:rsid w:val="00AC19F3"/>
    <w:rsid w:val="00DC5E72"/>
    <w:rsid w:val="00DE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16365"/>
  <w15:chartTrackingRefBased/>
  <w15:docId w15:val="{2CFDAB14-3371-C447-99B4-00EB49C5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5E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396</Words>
  <Characters>2383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Scuderi</dc:creator>
  <cp:keywords/>
  <dc:description/>
  <cp:lastModifiedBy>Guy Scuderi</cp:lastModifiedBy>
  <cp:revision>3</cp:revision>
  <cp:lastPrinted>2026-06-02T18:49:00Z</cp:lastPrinted>
  <dcterms:created xsi:type="dcterms:W3CDTF">2026-06-02T18:49:00Z</dcterms:created>
  <dcterms:modified xsi:type="dcterms:W3CDTF">2026-06-02T18:49:00Z</dcterms:modified>
</cp:coreProperties>
</file>