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center"/>
      </w:pPr>
      <w:r>
        <w:t>2023</w:t>
      </w:r>
      <w:r>
        <w:rPr>
          <w:rFonts w:ascii="楷体" w:hAnsi="楷体" w:eastAsia="楷体" w:cs="楷体"/>
        </w:rPr>
        <w:t>年随着各地特产爆火，新疆三文鱼产品引发广泛讨论。新疆高山湖泊和高海拔、雪域活水共同创造的纯净富养环境，使得众多湖泊成为冷水鱼类的新家园，实现</w:t>
      </w:r>
      <w:r>
        <w:t>“</w:t>
      </w:r>
      <w:r>
        <w:rPr>
          <w:rFonts w:ascii="楷体" w:hAnsi="楷体" w:eastAsia="楷体" w:cs="楷体"/>
        </w:rPr>
        <w:t>海鲜陆养</w:t>
      </w:r>
      <w:r>
        <w:t>”</w:t>
      </w:r>
      <w:r>
        <w:rPr>
          <w:rFonts w:ascii="楷体" w:hAnsi="楷体" w:eastAsia="楷体" w:cs="楷体"/>
        </w:rPr>
        <w:t>。图示意新疆简图。完成</w:t>
      </w:r>
      <w:r>
        <w:rPr>
          <w:rFonts w:hint="eastAsia" w:ascii="楷体" w:hAnsi="楷体" w:eastAsia="楷体" w:cs="楷体"/>
          <w:lang w:val="en-US" w:eastAsia="zh-CN"/>
        </w:rPr>
        <w:t>56-58</w:t>
      </w:r>
      <w:r>
        <w:rPr>
          <w:rFonts w:ascii="楷体" w:hAnsi="楷体" w:eastAsia="楷体" w:cs="楷体"/>
        </w:rPr>
        <w:t>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2801620</wp:posOffset>
            </wp:positionH>
            <wp:positionV relativeFrom="paragraph">
              <wp:posOffset>219710</wp:posOffset>
            </wp:positionV>
            <wp:extent cx="2449830" cy="2098040"/>
            <wp:effectExtent l="0" t="0" r="3810" b="5080"/>
            <wp:wrapNone/>
            <wp:docPr id="100003" name="图片 100003" descr="@@@4a8b9cae-6fd8-48c4-9d5a-160edd88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4a8b9cae-6fd8-48c4-9d5a-160edd8891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1．新疆（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A．地处高纬度地区</w:t>
      </w:r>
      <w: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B．深处亚欧大陆内部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C．地形以平原盆地为主</w:t>
      </w:r>
      <w: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D．属于温带海洋性气候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t>2．新疆发展三文鱼产业的优势自然条件是（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A．沙尘暴多发，带来营养物质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B．四季光照强，水温季节变化小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C．多外流河湖，养殖水域广阔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D．高山冰雪融水，水温低水质好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</w:pPr>
      <w:r>
        <w:t>3．新疆实现“海鲜陆养”的意义包括（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 w:firstLineChars="100"/>
        <w:jc w:val="left"/>
        <w:textAlignment w:val="center"/>
      </w:pPr>
      <w:r>
        <w:t>①带动当地居民就业</w:t>
      </w:r>
      <w:r>
        <w:rPr>
          <w:rFonts w:hint="eastAsia"/>
          <w:lang w:val="en-US" w:eastAsia="zh-CN"/>
        </w:rPr>
        <w:t xml:space="preserve">                </w:t>
      </w:r>
      <w:r>
        <w:t>②丰富内陆居民食材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 w:firstLineChars="100"/>
        <w:jc w:val="left"/>
        <w:textAlignment w:val="center"/>
      </w:pPr>
      <w:r>
        <w:t>③提高当地水资源的储备</w:t>
      </w:r>
      <w:r>
        <w:rPr>
          <w:rFonts w:hint="eastAsia"/>
          <w:lang w:val="en-US" w:eastAsia="zh-CN"/>
        </w:rPr>
        <w:t xml:space="preserve">            </w:t>
      </w:r>
      <w:r>
        <w:t>④提高当地的水资源利用率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00"/>
        <w:jc w:val="left"/>
        <w:textAlignment w:val="center"/>
      </w:pPr>
      <w:r>
        <w:t>A．①②③</w:t>
      </w:r>
      <w:r>
        <w:tab/>
      </w:r>
      <w:r>
        <w:t>B．①②④</w:t>
      </w:r>
      <w:r>
        <w:tab/>
      </w:r>
      <w:r>
        <w:t>C．①③④</w:t>
      </w:r>
      <w:r>
        <w:tab/>
      </w:r>
      <w:r>
        <w:t>D．②③④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3669665</wp:posOffset>
            </wp:positionH>
            <wp:positionV relativeFrom="paragraph">
              <wp:posOffset>755015</wp:posOffset>
            </wp:positionV>
            <wp:extent cx="1304925" cy="1924050"/>
            <wp:effectExtent l="0" t="0" r="5715" b="11430"/>
            <wp:wrapNone/>
            <wp:docPr id="100007" name="图片 100007" descr="@@@cba0aae8-0a20-4bbb-8896-4a8986b2c6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cba0aae8-0a20-4bbb-8896-4a8986b2c60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2023</w:t>
      </w:r>
      <w:r>
        <w:rPr>
          <w:rFonts w:ascii="楷体" w:hAnsi="楷体" w:eastAsia="楷体" w:cs="楷体"/>
        </w:rPr>
        <w:t>年</w:t>
      </w:r>
      <w:r>
        <w:t>3</w:t>
      </w:r>
      <w:r>
        <w:rPr>
          <w:rFonts w:ascii="楷体" w:hAnsi="楷体" w:eastAsia="楷体" w:cs="楷体"/>
        </w:rPr>
        <w:t>月</w:t>
      </w:r>
      <w:r>
        <w:t>27</w:t>
      </w:r>
      <w:r>
        <w:rPr>
          <w:rFonts w:ascii="楷体" w:hAnsi="楷体" w:eastAsia="楷体" w:cs="楷体"/>
        </w:rPr>
        <w:t>日下午，在黔东南州台江县台盘村篮球场举行了贵州省第二届“美丽乡村”篮球联赛的启动仪式，贵州省“美丽乡村”篮球联赛别称“村</w:t>
      </w:r>
      <w:r>
        <w:t>BA</w:t>
      </w:r>
      <w:r>
        <w:rPr>
          <w:rFonts w:ascii="楷体" w:hAnsi="楷体" w:eastAsia="楷体" w:cs="楷体"/>
        </w:rPr>
        <w:t>”，该联赛将体育助力乡村振兴为核心，将村镇作为赛场，火遍全网的“村</w:t>
      </w:r>
      <w:r>
        <w:t>BA</w:t>
      </w:r>
      <w:r>
        <w:rPr>
          <w:rFonts w:ascii="楷体" w:hAnsi="楷体" w:eastAsia="楷体" w:cs="楷体"/>
        </w:rPr>
        <w:t>”，上万人涌入贵州台盘村看“村</w:t>
      </w:r>
      <w:r>
        <w:t>BA</w:t>
      </w:r>
      <w:r>
        <w:rPr>
          <w:rFonts w:ascii="楷体" w:hAnsi="楷体" w:eastAsia="楷体" w:cs="楷体"/>
        </w:rPr>
        <w:t>”，带火当地特色旅游。结合图文材料，完成下面小题。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6985</wp:posOffset>
            </wp:positionV>
            <wp:extent cx="3140710" cy="1696720"/>
            <wp:effectExtent l="0" t="0" r="13970" b="10160"/>
            <wp:wrapNone/>
            <wp:docPr id="100005" name="图片 100005" descr="@@@e9b7e523-125a-4220-b020-c6d74de295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e9b7e523-125a-4220-b020-c6d74de295a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  <w:r>
        <w:rPr>
          <w:rFonts w:hint="eastAsia"/>
          <w:lang w:val="en-US" w:eastAsia="zh-CN"/>
        </w:rPr>
        <w:t>59</w:t>
      </w:r>
      <w:r>
        <w:t>．谚语“天无三日晴，地无三尺平”描述了贵州省自然环境的突出特点是（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300"/>
        <w:jc w:val="left"/>
        <w:textAlignment w:val="center"/>
      </w:pPr>
      <w:r>
        <w:t>A．晴天多，地表崎岖不平</w:t>
      </w:r>
      <w:r>
        <w:tab/>
      </w:r>
      <w:r>
        <w:t>B．土层深厚，地表水较丰富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300"/>
        <w:jc w:val="left"/>
        <w:textAlignment w:val="center"/>
      </w:pPr>
      <w:r>
        <w:t>C．阴天多，地势平坦开阔</w:t>
      </w:r>
      <w:r>
        <w:tab/>
      </w:r>
      <w:r>
        <w:t>D．潮湿多阴雨，崎岖地不平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center"/>
      </w:pPr>
      <w:r>
        <w:rPr>
          <w:rFonts w:hint="eastAsia"/>
          <w:lang w:val="en-US" w:eastAsia="zh-CN"/>
        </w:rPr>
        <w:t>60</w:t>
      </w:r>
      <w:r>
        <w:t>．导致乌江流域多“桥摞桥”景观的主要影响因素是（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300"/>
        <w:jc w:val="left"/>
        <w:textAlignment w:val="center"/>
      </w:pPr>
      <w:r>
        <w:t>A．植被</w:t>
      </w:r>
      <w:r>
        <w:tab/>
      </w:r>
      <w:r>
        <w:t>B．地形</w:t>
      </w:r>
      <w:r>
        <w:tab/>
      </w:r>
      <w:r>
        <w:t>C．气候</w:t>
      </w:r>
      <w:r>
        <w:tab/>
      </w:r>
      <w:r>
        <w:t>D．土壤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300"/>
        <w:jc w:val="left"/>
        <w:textAlignment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center"/>
        <w:rPr>
          <w:rFonts w:ascii="宋体" w:hAnsi="宋体" w:eastAsia="宋体" w:cs="宋体"/>
          <w:b/>
          <w:i w:val="0"/>
          <w:sz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065D6858"/>
    <w:rsid w:val="61B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2024-04-23T09:05:54Z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6f06919d5f934210a4183eaeb77328e9mzc1ndgynzgxoa</vt:lpwstr>
  </property>
  <property fmtid="{D5CDD505-2E9C-101B-9397-08002B2CF9AE}" pid="4" name="KSOProductBuildVer">
    <vt:lpwstr>2052-12.1.0.16729</vt:lpwstr>
  </property>
  <property fmtid="{D5CDD505-2E9C-101B-9397-08002B2CF9AE}" pid="5" name="ICV">
    <vt:lpwstr>0B16DBE51E94498E8943DF7CA4664DBB_13</vt:lpwstr>
  </property>
</Properties>
</file>