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7FFF5EE1" w:rsidR="00472B27" w:rsidRPr="0009320A" w:rsidRDefault="001B6AC4" w:rsidP="00472B27">
      <w:pPr>
        <w:pStyle w:val="TtuloApartado1sinnivel"/>
      </w:pPr>
      <w:r>
        <w:t xml:space="preserve">Laboratorio: </w:t>
      </w:r>
      <w:r w:rsidRPr="001B6AC4">
        <w:t>Resolución de PVI con métodos numéricos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E5C16CD" w14:textId="1046639C" w:rsidR="00B42170" w:rsidRDefault="001B6AC4" w:rsidP="001B6AC4">
      <w:pPr>
        <w:pStyle w:val="TtuloApartado2"/>
      </w:pPr>
      <w:r>
        <w:t>Preparación del laboratorio</w:t>
      </w:r>
    </w:p>
    <w:p w14:paraId="2E410AC1" w14:textId="77777777" w:rsidR="001B6AC4" w:rsidRDefault="001B6AC4" w:rsidP="00B42170"/>
    <w:p w14:paraId="776814CF" w14:textId="100F0ABA" w:rsidR="001B6AC4" w:rsidRDefault="001B6AC4" w:rsidP="00B42170">
      <w:r w:rsidRPr="001B6AC4">
        <w:t>Con esta actividad vas a conseguir poner en práctica los conceptos relacionados con los problemas de valor inicial (</w:t>
      </w:r>
      <w:proofErr w:type="spellStart"/>
      <w:r w:rsidRPr="001B6AC4">
        <w:t>PVIs</w:t>
      </w:r>
      <w:proofErr w:type="spellEnd"/>
      <w:r w:rsidRPr="001B6AC4">
        <w:t xml:space="preserve">), en las diferentes estructuras que se pueden plantear, así como los diferentes métodos que has implementado para resolver de forma numérica los </w:t>
      </w:r>
      <w:proofErr w:type="spellStart"/>
      <w:r w:rsidRPr="001B6AC4">
        <w:t>PVIs</w:t>
      </w:r>
      <w:proofErr w:type="spellEnd"/>
      <w:r w:rsidRPr="001B6AC4">
        <w:t>.</w:t>
      </w:r>
    </w:p>
    <w:p w14:paraId="6EF351CA" w14:textId="77777777" w:rsidR="001B6AC4" w:rsidRDefault="001B6AC4" w:rsidP="00B42170"/>
    <w:p w14:paraId="2C1B375F" w14:textId="23485B1F" w:rsidR="001B6AC4" w:rsidRDefault="001B6AC4" w:rsidP="001B6AC4">
      <w:pPr>
        <w:pStyle w:val="TtuloApartado2"/>
      </w:pPr>
      <w:r>
        <w:t>Descripción del laboratorio</w:t>
      </w:r>
    </w:p>
    <w:p w14:paraId="2B27FB06" w14:textId="77777777" w:rsidR="001B6AC4" w:rsidRDefault="001B6AC4" w:rsidP="00B42170"/>
    <w:p w14:paraId="29DC85EF" w14:textId="785514B3" w:rsidR="001B6AC4" w:rsidRDefault="001B6AC4" w:rsidP="001B6AC4">
      <w:pPr>
        <w:pStyle w:val="TtuloApartado3"/>
      </w:pPr>
      <w:r>
        <w:t>Problema 1</w:t>
      </w:r>
    </w:p>
    <w:p w14:paraId="0C0AFB38" w14:textId="77777777" w:rsidR="001B6AC4" w:rsidRDefault="001B6AC4" w:rsidP="001B6AC4"/>
    <w:p w14:paraId="73081E45" w14:textId="1CC8181B" w:rsidR="001B6AC4" w:rsidRDefault="001B6AC4" w:rsidP="001B6AC4">
      <w:r w:rsidRPr="001B6AC4">
        <w:t>Consideremos el problema de valor inicial definido mediante la ecuación:</w:t>
      </w:r>
    </w:p>
    <w:p w14:paraId="197E3807" w14:textId="77777777" w:rsidR="001B6AC4" w:rsidRDefault="001B6AC4" w:rsidP="001B6AC4"/>
    <w:p w14:paraId="43AEFF0E" w14:textId="77777777" w:rsidR="001B6AC4" w:rsidRPr="00751423" w:rsidRDefault="00C85F10" w:rsidP="001B6AC4"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=2y'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-5y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381ADE" w14:textId="77777777" w:rsidR="001B6AC4" w:rsidRDefault="001B6AC4" w:rsidP="001B6AC4"/>
    <w:p w14:paraId="756B8492" w14:textId="5F1CA85A" w:rsidR="001B6AC4" w:rsidRDefault="00075395" w:rsidP="001B6AC4">
      <w:r>
        <w:t>S</w:t>
      </w:r>
      <w:r w:rsidR="001B6AC4" w:rsidRPr="001B6AC4">
        <w:t>ujeto a las condiciones iniciales</w:t>
      </w:r>
      <w:r w:rsidR="001B6AC4">
        <w:t>:</w:t>
      </w:r>
    </w:p>
    <w:p w14:paraId="405E6952" w14:textId="77777777" w:rsidR="001B6AC4" w:rsidRDefault="001B6AC4" w:rsidP="001B6AC4"/>
    <w:p w14:paraId="6BE0D2F5" w14:textId="37EEB63F" w:rsidR="001B6AC4" w:rsidRDefault="001B6AC4" w:rsidP="001B6AC4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=0,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0FB4197" w14:textId="77777777" w:rsidR="001B6AC4" w:rsidRDefault="001B6AC4" w:rsidP="001B6AC4"/>
    <w:p w14:paraId="23BF85F8" w14:textId="77777777" w:rsidR="001B6AC4" w:rsidRDefault="001B6AC4" w:rsidP="001B6AC4">
      <w:pPr>
        <w:pStyle w:val="Prrafodelista"/>
        <w:numPr>
          <w:ilvl w:val="0"/>
          <w:numId w:val="24"/>
        </w:numPr>
      </w:pPr>
      <w:r>
        <w:t xml:space="preserve">Transforma el PVI en un sistema de ecuaciones diferenciales de primer orden. Escribe una función </w:t>
      </w:r>
      <w:r w:rsidRPr="001B6AC4">
        <w:rPr>
          <w:rFonts w:ascii="Consolas" w:hAnsi="Consolas" w:cs="Consolas"/>
          <w:sz w:val="20"/>
          <w:szCs w:val="20"/>
        </w:rPr>
        <w:t>PVI1.m</w:t>
      </w:r>
      <w:r>
        <w:t xml:space="preserve"> que implemente el sistema de ecuaciones diferenciales de primer orden y copia el código en este apartado.</w:t>
      </w:r>
    </w:p>
    <w:p w14:paraId="058339D0" w14:textId="77777777" w:rsidR="001B6AC4" w:rsidRDefault="001B6AC4" w:rsidP="001B6AC4">
      <w:pPr>
        <w:pStyle w:val="Prrafodelista"/>
        <w:numPr>
          <w:ilvl w:val="0"/>
          <w:numId w:val="24"/>
        </w:numPr>
      </w:pPr>
      <w:r w:rsidRPr="00424AEF">
        <w:lastRenderedPageBreak/>
        <w:t>Us</w:t>
      </w:r>
      <w:r>
        <w:t>a</w:t>
      </w:r>
      <w:r w:rsidRPr="00424AEF">
        <w:t xml:space="preserve"> el método de </w:t>
      </w:r>
      <w:proofErr w:type="spellStart"/>
      <w:r>
        <w:t>Heun</w:t>
      </w:r>
      <w:proofErr w:type="spellEnd"/>
      <w:r>
        <w:t xml:space="preserve"> de orden 2</w:t>
      </w:r>
      <w:r w:rsidRPr="00424AEF">
        <w:t xml:space="preserve"> para resolver el </w:t>
      </w:r>
      <w:r>
        <w:t xml:space="preserve">PVI </w:t>
      </w:r>
      <w:r w:rsidRPr="00424AEF">
        <w:t xml:space="preserve">en el intervalo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424AEF">
        <w:t xml:space="preserve"> con 40 </w:t>
      </w:r>
      <w:proofErr w:type="spellStart"/>
      <w:r w:rsidRPr="00424AEF">
        <w:t>subintervalos</w:t>
      </w:r>
      <w:proofErr w:type="spellEnd"/>
      <w:r w:rsidRPr="00424AEF">
        <w:t>.</w:t>
      </w:r>
      <w:r>
        <w:t xml:space="preserve"> Representa la solución </w:t>
      </w:r>
      <m:oMath>
        <m:r>
          <w:rPr>
            <w:rFonts w:ascii="Cambria Math" w:hAnsi="Cambria Math"/>
          </w:rPr>
          <m:t>y(x)</m:t>
        </m:r>
      </m:oMath>
      <w:r>
        <w:t xml:space="preserve"> para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. Indica en una tabla los valores de </w:t>
      </w:r>
      <m:oMath>
        <m:r>
          <w:rPr>
            <w:rFonts w:ascii="Cambria Math" w:hAnsi="Cambria Math"/>
          </w:rPr>
          <m:t>y(x)</m:t>
        </m:r>
      </m:oMath>
      <w:r>
        <w:t xml:space="preserve"> para </w:t>
      </w: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 xml:space="preserve">,0,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>
        <w:t>.</w:t>
      </w:r>
    </w:p>
    <w:p w14:paraId="164D9551" w14:textId="77777777" w:rsidR="001B6AC4" w:rsidRDefault="001B6AC4" w:rsidP="001B6AC4">
      <w:pPr>
        <w:pStyle w:val="Prrafodelista"/>
        <w:ind w:left="284"/>
      </w:pPr>
    </w:p>
    <w:p w14:paraId="3965F31B" w14:textId="77777777" w:rsidR="001B6AC4" w:rsidRDefault="001B6AC4" w:rsidP="001B6AC4">
      <w:pPr>
        <w:pStyle w:val="Prrafodelista"/>
        <w:numPr>
          <w:ilvl w:val="0"/>
          <w:numId w:val="24"/>
        </w:numPr>
      </w:pPr>
      <w:r>
        <w:t>Usa</w:t>
      </w:r>
      <w:r w:rsidRPr="00424AEF">
        <w:t xml:space="preserve"> el método de </w:t>
      </w:r>
      <w:proofErr w:type="spellStart"/>
      <w:r w:rsidRPr="00424AEF">
        <w:t>Runge-Kutta</w:t>
      </w:r>
      <w:proofErr w:type="spellEnd"/>
      <w:r w:rsidRPr="00424AEF">
        <w:t xml:space="preserve"> de </w:t>
      </w:r>
      <w:r>
        <w:t>orden</w:t>
      </w:r>
      <w:r w:rsidRPr="00424AEF">
        <w:t xml:space="preserve"> 4 para resolver el problema de valor inicial en el intervalo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424AEF">
        <w:t xml:space="preserve"> con 40 subintervalos.</w:t>
      </w:r>
      <w:r>
        <w:t xml:space="preserve"> Representa la </w:t>
      </w:r>
      <m:oMath>
        <m:r>
          <w:rPr>
            <w:rFonts w:ascii="Cambria Math" w:hAnsi="Cambria Math"/>
          </w:rPr>
          <m:t>y(x)</m:t>
        </m:r>
      </m:oMath>
      <w:r>
        <w:t xml:space="preserve"> para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. Indica en una tabla los valores de </w:t>
      </w:r>
      <m:oMath>
        <m:r>
          <w:rPr>
            <w:rFonts w:ascii="Cambria Math" w:hAnsi="Cambria Math"/>
          </w:rPr>
          <m:t>y(x)</m:t>
        </m:r>
      </m:oMath>
      <w:r>
        <w:t xml:space="preserve"> para </w:t>
      </w: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 xml:space="preserve">,0,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>
        <w:t>.</w:t>
      </w:r>
    </w:p>
    <w:p w14:paraId="172C32DF" w14:textId="77777777" w:rsidR="001B6AC4" w:rsidRDefault="001B6AC4" w:rsidP="001B6AC4"/>
    <w:p w14:paraId="15A8433F" w14:textId="77777777" w:rsidR="001B6AC4" w:rsidRPr="00424AEF" w:rsidRDefault="001B6AC4" w:rsidP="001B6AC4">
      <w:pPr>
        <w:pStyle w:val="Prrafodelista"/>
        <w:numPr>
          <w:ilvl w:val="0"/>
          <w:numId w:val="24"/>
        </w:numPr>
        <w:contextualSpacing w:val="0"/>
      </w:pPr>
      <w:r w:rsidRPr="00AD3F40">
        <w:t>Proporciona una estimación numérica del orden de</w:t>
      </w:r>
      <w:r>
        <w:t xml:space="preserve"> los métodos utilizados en los apartados anteriores. Copia el código que has utilizado para realizar dicha estimación numérica.</w:t>
      </w:r>
    </w:p>
    <w:p w14:paraId="4D251C67" w14:textId="77777777" w:rsidR="001B6AC4" w:rsidRDefault="001B6AC4" w:rsidP="001B6AC4"/>
    <w:p w14:paraId="6826901F" w14:textId="3D26CD35" w:rsidR="00075395" w:rsidRDefault="00075395" w:rsidP="00075395">
      <w:pPr>
        <w:pStyle w:val="TtuloApartado3"/>
      </w:pPr>
      <w:r>
        <w:t>Problema 2</w:t>
      </w:r>
    </w:p>
    <w:p w14:paraId="22CAEFBE" w14:textId="77777777" w:rsidR="00B42170" w:rsidRDefault="00B42170" w:rsidP="005E6742"/>
    <w:p w14:paraId="5BD25B2A" w14:textId="5387AC2A" w:rsidR="001B6AC4" w:rsidRDefault="00075395" w:rsidP="005E6742">
      <w:r w:rsidRPr="00075395">
        <w:t>Considera el sistema de ecuaciones diferenciales</w:t>
      </w:r>
      <w:r>
        <w:t>:</w:t>
      </w:r>
    </w:p>
    <w:p w14:paraId="3773E288" w14:textId="77777777" w:rsidR="001B6AC4" w:rsidRDefault="001B6AC4" w:rsidP="005E6742"/>
    <w:p w14:paraId="5F85E567" w14:textId="77777777" w:rsidR="00075395" w:rsidRPr="00B26FC9" w:rsidRDefault="00075395" w:rsidP="00075395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-2v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+10t=4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-8t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(t)</m:t>
                          </m:r>
                        </m:e>
                      </m:func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=5t-2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,  t∈[0, 2]</m:t>
          </m:r>
        </m:oMath>
      </m:oMathPara>
    </w:p>
    <w:p w14:paraId="5102DB77" w14:textId="77777777" w:rsidR="00075395" w:rsidRDefault="00075395" w:rsidP="00075395"/>
    <w:p w14:paraId="75AA3E11" w14:textId="77777777" w:rsidR="00075395" w:rsidRDefault="00075395" w:rsidP="00075395">
      <w:r>
        <w:t>S</w:t>
      </w:r>
      <w:r w:rsidRPr="001B6AC4">
        <w:t>ujeto a las condiciones iniciales</w:t>
      </w:r>
      <w:r>
        <w:t>:</w:t>
      </w:r>
    </w:p>
    <w:p w14:paraId="1F1C0A37" w14:textId="77777777" w:rsidR="00075395" w:rsidRDefault="00075395" w:rsidP="00075395"/>
    <w:p w14:paraId="73C65EC2" w14:textId="23DA41B2" w:rsidR="001B6AC4" w:rsidRDefault="00075395" w:rsidP="005E6742"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=0,</m:t>
          </m:r>
        </m:oMath>
      </m:oMathPara>
    </w:p>
    <w:p w14:paraId="1C2E3323" w14:textId="207D66BE" w:rsidR="001B6AC4" w:rsidRDefault="00075395" w:rsidP="005E6742"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14:paraId="5290BE49" w14:textId="77777777" w:rsidR="00075395" w:rsidRDefault="00075395" w:rsidP="00075395"/>
    <w:p w14:paraId="7F34F2A7" w14:textId="77777777" w:rsidR="00075395" w:rsidRPr="00075395" w:rsidRDefault="00075395" w:rsidP="00075395">
      <w:pPr>
        <w:pStyle w:val="Prrafodelista"/>
        <w:numPr>
          <w:ilvl w:val="0"/>
          <w:numId w:val="24"/>
        </w:numPr>
      </w:pPr>
      <w:r w:rsidRPr="00075395">
        <w:t>Transforma el PVI en un sistema de ecuaciones diferenciales de primer orden. Escribe una función PVI2.m que implemente el sistema de ecuaciones diferenciales de primer orden y copia el código en este apartado.</w:t>
      </w:r>
    </w:p>
    <w:p w14:paraId="6C515AE7" w14:textId="77777777" w:rsidR="00075395" w:rsidRPr="00314494" w:rsidRDefault="00075395" w:rsidP="00075395">
      <w:pPr>
        <w:pStyle w:val="Prrafodelista"/>
        <w:numPr>
          <w:ilvl w:val="0"/>
          <w:numId w:val="24"/>
        </w:numPr>
      </w:pPr>
      <w:r>
        <w:lastRenderedPageBreak/>
        <w:t>Resuelve el sistema en el</w:t>
      </w:r>
      <w:r w:rsidRPr="00314494">
        <w:rPr>
          <w:lang w:val="es-ES_tradnl"/>
        </w:rPr>
        <w:t xml:space="preserve"> intervalo </w:t>
      </w:r>
      <m:oMath>
        <m:r>
          <w:rPr>
            <w:rFonts w:ascii="Cambria Math" w:hAnsi="Cambria Math"/>
            <w:lang w:val="es-ES_tradnl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0, 2</m:t>
            </m:r>
          </m:e>
        </m:d>
      </m:oMath>
      <w:r w:rsidRPr="00314494">
        <w:rPr>
          <w:rFonts w:eastAsiaTheme="minorEastAsia"/>
          <w:lang w:val="es-ES_tradnl"/>
        </w:rPr>
        <w:t xml:space="preserve"> por el método de Runge-Kutta de orden 4, tomando como paso </w:t>
      </w:r>
      <m:oMath>
        <m:r>
          <w:rPr>
            <w:rFonts w:ascii="Cambria Math" w:eastAsiaTheme="minorEastAsia" w:hAnsi="Cambria Math"/>
            <w:lang w:val="es-ES_tradnl"/>
          </w:rPr>
          <m:t>h=0.1</m:t>
        </m:r>
      </m:oMath>
      <w:r w:rsidRPr="00314494">
        <w:rPr>
          <w:rFonts w:eastAsiaTheme="minorEastAsia"/>
          <w:lang w:val="es-ES_tradnl"/>
        </w:rPr>
        <w:t xml:space="preserve">. Representa en una misma gráfica las variables </w:t>
      </w:r>
      <m:oMath>
        <m:r>
          <w:rPr>
            <w:rFonts w:ascii="Cambria Math" w:eastAsiaTheme="minorEastAsia" w:hAnsi="Cambria Math"/>
            <w:lang w:val="es-ES_tradnl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</m:d>
      </m:oMath>
      <w:r w:rsidRPr="00314494">
        <w:rPr>
          <w:rFonts w:eastAsiaTheme="minorEastAsia"/>
          <w:lang w:val="es-ES_tradnl"/>
        </w:rPr>
        <w:t xml:space="preserve"> y </w:t>
      </w:r>
      <m:oMath>
        <m:r>
          <w:rPr>
            <w:rFonts w:ascii="Cambria Math" w:eastAsiaTheme="minorEastAsia" w:hAnsi="Cambria Math"/>
            <w:lang w:val="es-ES_tradnl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</m:d>
      </m:oMath>
      <w:r w:rsidRPr="00314494">
        <w:rPr>
          <w:rFonts w:eastAsiaTheme="minorEastAsia"/>
          <w:lang w:val="es-ES_tradnl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0, 2</m:t>
            </m:r>
          </m:e>
        </m:d>
      </m:oMath>
      <w:r w:rsidRPr="00314494">
        <w:rPr>
          <w:rFonts w:eastAsiaTheme="minorEastAsia"/>
          <w:lang w:val="es-ES_tradnl"/>
        </w:rPr>
        <w:t xml:space="preserve"> e indica en una tabla los valores de </w:t>
      </w:r>
      <m:oMath>
        <m:r>
          <w:rPr>
            <w:rFonts w:ascii="Cambria Math" w:eastAsiaTheme="minorEastAsia" w:hAnsi="Cambria Math"/>
            <w:lang w:val="es-ES_tradnl"/>
          </w:rPr>
          <m:t>u(t)</m:t>
        </m:r>
      </m:oMath>
      <w:r w:rsidRPr="00314494">
        <w:rPr>
          <w:rFonts w:eastAsiaTheme="minorEastAsia"/>
          <w:lang w:val="es-ES_tradnl"/>
        </w:rPr>
        <w:t xml:space="preserve"> y </w:t>
      </w:r>
      <m:oMath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t</m:t>
            </m:r>
          </m:e>
        </m:d>
      </m:oMath>
      <w:r w:rsidRPr="00314494">
        <w:rPr>
          <w:rFonts w:eastAsiaTheme="minorEastAsia"/>
          <w:lang w:val="es-ES_tradnl"/>
        </w:rPr>
        <w:t xml:space="preserve"> para </w:t>
      </w:r>
      <m:oMath>
        <m:r>
          <w:rPr>
            <w:rFonts w:ascii="Cambria Math" w:eastAsiaTheme="minorEastAsia" w:hAnsi="Cambria Math"/>
            <w:lang w:val="es-ES_tradnl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0, 0.5, 1, 1.5, 2</m:t>
            </m:r>
          </m:e>
        </m:d>
      </m:oMath>
      <w:r w:rsidRPr="00314494">
        <w:rPr>
          <w:rFonts w:eastAsiaTheme="minorEastAsia"/>
          <w:lang w:val="es-ES_tradnl"/>
        </w:rPr>
        <w:t>.</w:t>
      </w:r>
    </w:p>
    <w:p w14:paraId="1231A631" w14:textId="6ECBC91F" w:rsidR="00075395" w:rsidRPr="00424AEF" w:rsidRDefault="00075395" w:rsidP="00075395">
      <w:pPr>
        <w:pStyle w:val="Prrafodelista"/>
        <w:numPr>
          <w:ilvl w:val="0"/>
          <w:numId w:val="24"/>
        </w:numPr>
      </w:pPr>
      <w:r>
        <w:t>Resuelve el sistema en el</w:t>
      </w:r>
      <w:r w:rsidRPr="00314494">
        <w:rPr>
          <w:lang w:val="es-ES_tradnl"/>
        </w:rPr>
        <w:t xml:space="preserve"> intervalo </w:t>
      </w:r>
      <m:oMath>
        <m:r>
          <w:rPr>
            <w:rFonts w:ascii="Cambria Math" w:hAnsi="Cambria Math"/>
            <w:lang w:val="es-ES_tradnl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0, 200</m:t>
            </m:r>
          </m:e>
        </m:d>
      </m:oMath>
      <w:r w:rsidRPr="00314494">
        <w:rPr>
          <w:rFonts w:eastAsiaTheme="minorEastAsia"/>
          <w:lang w:val="es-ES_tradnl"/>
        </w:rPr>
        <w:t xml:space="preserve"> por el método de Runge-Kutta de orden 4, tomando como paso </w:t>
      </w:r>
      <m:oMath>
        <m:r>
          <w:rPr>
            <w:rFonts w:ascii="Cambria Math" w:eastAsiaTheme="minorEastAsia" w:hAnsi="Cambria Math"/>
            <w:lang w:val="es-ES_tradnl"/>
          </w:rPr>
          <m:t>h=0.2</m:t>
        </m:r>
      </m:oMath>
      <w:r w:rsidRPr="00314494">
        <w:rPr>
          <w:rFonts w:eastAsiaTheme="minorEastAsia"/>
          <w:lang w:val="es-ES_tradnl"/>
        </w:rPr>
        <w:t xml:space="preserve">. Representa en una misma gráfica las variables </w:t>
      </w:r>
      <m:oMath>
        <m:r>
          <w:rPr>
            <w:rFonts w:ascii="Cambria Math" w:eastAsiaTheme="minorEastAsia" w:hAnsi="Cambria Math"/>
            <w:lang w:val="es-ES_tradnl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</m:d>
      </m:oMath>
      <w:r w:rsidRPr="00314494">
        <w:rPr>
          <w:rFonts w:eastAsiaTheme="minorEastAsia"/>
          <w:lang w:val="es-ES_tradnl"/>
        </w:rPr>
        <w:t xml:space="preserve"> y </w:t>
      </w:r>
      <m:oMath>
        <m:r>
          <w:rPr>
            <w:rFonts w:ascii="Cambria Math" w:eastAsiaTheme="minorEastAsia" w:hAnsi="Cambria Math"/>
            <w:lang w:val="es-ES_tradnl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</m:d>
      </m:oMath>
      <w:r w:rsidRPr="00314494">
        <w:rPr>
          <w:rFonts w:eastAsiaTheme="minorEastAsia"/>
          <w:lang w:val="es-ES_tradnl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190, 200</m:t>
            </m:r>
          </m:e>
        </m:d>
      </m:oMath>
      <w:r w:rsidRPr="00314494">
        <w:rPr>
          <w:rFonts w:eastAsiaTheme="minorEastAsia"/>
          <w:lang w:val="es-ES_tradnl"/>
        </w:rPr>
        <w:t xml:space="preserve"> e indica en una tabla los valores de </w:t>
      </w:r>
      <m:oMath>
        <m:r>
          <w:rPr>
            <w:rFonts w:ascii="Cambria Math" w:eastAsiaTheme="minorEastAsia" w:hAnsi="Cambria Math"/>
            <w:lang w:val="es-ES_tradnl"/>
          </w:rPr>
          <m:t>u(t)</m:t>
        </m:r>
      </m:oMath>
      <w:r w:rsidRPr="00314494">
        <w:rPr>
          <w:rFonts w:eastAsiaTheme="minorEastAsia"/>
          <w:lang w:val="es-ES_tradnl"/>
        </w:rPr>
        <w:t xml:space="preserve"> y </w:t>
      </w:r>
      <m:oMath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t</m:t>
            </m:r>
          </m:e>
        </m:d>
      </m:oMath>
      <w:r w:rsidRPr="00314494">
        <w:rPr>
          <w:rFonts w:eastAsiaTheme="minorEastAsia"/>
          <w:lang w:val="es-ES_tradnl"/>
        </w:rPr>
        <w:t xml:space="preserve"> para </w:t>
      </w:r>
      <m:oMath>
        <m:r>
          <w:rPr>
            <w:rFonts w:ascii="Cambria Math" w:eastAsiaTheme="minorEastAsia" w:hAnsi="Cambria Math"/>
            <w:lang w:val="es-ES_tradnl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190, 195, 200</m:t>
            </m:r>
          </m:e>
        </m:d>
      </m:oMath>
      <w:r w:rsidRPr="00314494">
        <w:rPr>
          <w:rFonts w:eastAsiaTheme="minorEastAsia"/>
          <w:lang w:val="es-ES_tradnl"/>
        </w:rPr>
        <w:t>.</w:t>
      </w:r>
    </w:p>
    <w:p w14:paraId="70AE1CAA" w14:textId="77777777" w:rsidR="00075395" w:rsidRDefault="00075395" w:rsidP="00075395"/>
    <w:p w14:paraId="68E7973D" w14:textId="39870A39" w:rsidR="00075395" w:rsidRPr="006B6722" w:rsidRDefault="00075395" w:rsidP="00075395">
      <w:r w:rsidRPr="00621A67">
        <w:rPr>
          <w:b/>
          <w:bCs/>
        </w:rPr>
        <w:t xml:space="preserve">Extensión máxima: </w:t>
      </w:r>
      <w:r>
        <w:rPr>
          <w:bCs/>
        </w:rPr>
        <w:t>10</w:t>
      </w:r>
      <w:r w:rsidRPr="00621A67">
        <w:rPr>
          <w:bCs/>
        </w:rPr>
        <w:t xml:space="preserve"> páginas</w:t>
      </w:r>
      <w:r>
        <w:rPr>
          <w:bCs/>
        </w:rPr>
        <w:t>, f</w:t>
      </w:r>
      <w:r w:rsidRPr="006B6722">
        <w:rPr>
          <w:bCs/>
        </w:rPr>
        <w:t>uente: Calibri</w:t>
      </w:r>
      <w:r w:rsidRPr="006B6722">
        <w:rPr>
          <w:b/>
        </w:rPr>
        <w:t xml:space="preserve"> </w:t>
      </w:r>
      <w:r w:rsidRPr="006B6722">
        <w:t>1</w:t>
      </w:r>
      <w:r>
        <w:t>2</w:t>
      </w:r>
      <w:r w:rsidRPr="006B6722">
        <w:t>, interlineado 1.5</w:t>
      </w:r>
      <w:r>
        <w:t>.</w:t>
      </w:r>
    </w:p>
    <w:p w14:paraId="0B704CB2" w14:textId="77777777" w:rsidR="00075395" w:rsidRDefault="00075395" w:rsidP="0007539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1276"/>
        <w:gridCol w:w="1127"/>
      </w:tblGrid>
      <w:tr w:rsidR="008A2D1A" w14:paraId="24749609" w14:textId="77777777" w:rsidTr="00484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706B9B3A" w:rsidR="008A2D1A" w:rsidRPr="006069B6" w:rsidRDefault="00075395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0753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Resolución de PVI con métodos numéricos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(Valor real: 5 puntos)</w:t>
            </w:r>
          </w:p>
        </w:tc>
        <w:tc>
          <w:tcPr>
            <w:tcW w:w="439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1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484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39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7291E524" w:rsidR="008A2D1A" w:rsidRPr="006069B6" w:rsidRDefault="00075395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Calidad en la presentación: expresiones matemáticas escritas con editor de ecuaciones, tablas en formato tabla, legibilidad de gráficos… La no presentación en Word supone un 0 en este apartado.</w:t>
            </w:r>
          </w:p>
        </w:tc>
        <w:tc>
          <w:tcPr>
            <w:tcW w:w="127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277E3B2E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075395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1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7D54FEFF" w:rsidR="008A2D1A" w:rsidRPr="006069B6" w:rsidRDefault="00075395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15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4841D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0771DD74" w:rsidR="008A2D1A" w:rsidRPr="006069B6" w:rsidRDefault="00075395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Problema 1. Apartado a. El programa funciona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36723413" w:rsidR="008A2D1A" w:rsidRPr="006069B6" w:rsidRDefault="00075395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92A88E2" w:rsidR="008A2D1A" w:rsidRPr="006069B6" w:rsidRDefault="00075395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4841D6" w14:paraId="6CC97A7D" w14:textId="77777777" w:rsidTr="00484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4841D6" w:rsidRPr="006069B6" w:rsidRDefault="004841D6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4F55CA2B" w:rsidR="004841D6" w:rsidRPr="006069B6" w:rsidRDefault="004841D6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Problema 1. Apartado b. Tabla de resultados correcta.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55205B42" w:rsidR="004841D6" w:rsidRPr="006069B6" w:rsidRDefault="004841D6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0.625</w:t>
            </w:r>
          </w:p>
        </w:tc>
        <w:tc>
          <w:tcPr>
            <w:tcW w:w="1127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272C6272" w14:textId="5417032F" w:rsidR="004841D6" w:rsidRPr="006069B6" w:rsidRDefault="004841D6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12.5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075395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841D6" w14:paraId="2C8495D1" w14:textId="77777777" w:rsidTr="004841D6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4841D6" w:rsidRPr="006069B6" w:rsidRDefault="004841D6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1FCAF6E6" w:rsidR="004841D6" w:rsidRPr="006069B6" w:rsidRDefault="004841D6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Problema 1. Apartado b. Gráfica correcta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1DBDD151" w:rsidR="004841D6" w:rsidRPr="006069B6" w:rsidRDefault="004841D6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0.625</w:t>
            </w:r>
          </w:p>
        </w:tc>
        <w:tc>
          <w:tcPr>
            <w:tcW w:w="1127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296F45DA" w:rsidR="004841D6" w:rsidRPr="006069B6" w:rsidRDefault="004841D6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4841D6" w14:paraId="2C06B116" w14:textId="77777777" w:rsidTr="00C8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743888" w14:textId="77777777" w:rsidR="004841D6" w:rsidRPr="006069B6" w:rsidRDefault="004841D6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A9AFCC" w14:textId="433D4AFC" w:rsidR="004841D6" w:rsidRPr="006069B6" w:rsidRDefault="004841D6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841D6">
              <w:rPr>
                <w:rFonts w:cs="UnitOT-Light"/>
                <w:sz w:val="20"/>
                <w:szCs w:val="20"/>
              </w:rPr>
              <w:t>Problema 1. Apartado c. Tabla de resultados correcta.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C9D849" w14:textId="67280E75" w:rsidR="004841D6" w:rsidRPr="006069B6" w:rsidRDefault="004841D6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841D6">
              <w:rPr>
                <w:rFonts w:cs="UnitOT-Light"/>
                <w:sz w:val="20"/>
                <w:szCs w:val="20"/>
              </w:rPr>
              <w:t>0.625</w:t>
            </w:r>
          </w:p>
        </w:tc>
        <w:tc>
          <w:tcPr>
            <w:tcW w:w="1127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787B44AE" w14:textId="19C308A6" w:rsidR="004841D6" w:rsidRPr="006069B6" w:rsidRDefault="004841D6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12.5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075395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841D6" w14:paraId="715919B8" w14:textId="77777777" w:rsidTr="00C85F1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4C31947" w14:textId="3BF42A96" w:rsidR="004841D6" w:rsidRPr="006069B6" w:rsidRDefault="004841D6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ADAAAE" w14:textId="52DB2D77" w:rsidR="004841D6" w:rsidRDefault="004841D6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c. Gráfica correcta.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079D902" w14:textId="16F18A1C" w:rsidR="004841D6" w:rsidRDefault="004841D6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841D6">
              <w:rPr>
                <w:rFonts w:cs="UnitOT-Light"/>
                <w:sz w:val="20"/>
                <w:szCs w:val="20"/>
              </w:rPr>
              <w:t>0.625</w:t>
            </w:r>
          </w:p>
        </w:tc>
        <w:tc>
          <w:tcPr>
            <w:tcW w:w="1127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D870F0B" w14:textId="77777777" w:rsidR="004841D6" w:rsidRDefault="004841D6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C85F10" w14:paraId="5DD2E8AC" w14:textId="77777777" w:rsidTr="0071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3CAA73" w14:textId="5FA29D9F" w:rsidR="00C85F10" w:rsidRPr="006069B6" w:rsidRDefault="00C85F10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63A1F7" w14:textId="3EF5FAFD" w:rsidR="00C85F10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d. Procedimiento correcto.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4976AC" w14:textId="345A2835" w:rsidR="00C85F10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127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2E5A6B4B" w14:textId="2A0CCB24" w:rsidR="00C85F10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5F10" w14:paraId="3C61FAE7" w14:textId="77777777" w:rsidTr="00716246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F34F2CF" w14:textId="31B2387F" w:rsidR="00C85F10" w:rsidRPr="006069B6" w:rsidRDefault="00C85F10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53F7B8" w14:textId="1B394ED3" w:rsidR="00C85F10" w:rsidRDefault="00C85F10" w:rsidP="00C85F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841D6">
              <w:rPr>
                <w:rFonts w:cs="UnitOT-Light"/>
                <w:sz w:val="20"/>
                <w:szCs w:val="20"/>
              </w:rPr>
              <w:t xml:space="preserve">Problema 1. Apartado d. Resultado e </w:t>
            </w:r>
            <w:r>
              <w:rPr>
                <w:rFonts w:cs="UnitOT-Light"/>
                <w:sz w:val="20"/>
                <w:szCs w:val="20"/>
              </w:rPr>
              <w:t>i</w:t>
            </w:r>
            <w:r w:rsidRPr="004841D6">
              <w:rPr>
                <w:rFonts w:cs="UnitOT-Light"/>
                <w:sz w:val="20"/>
                <w:szCs w:val="20"/>
              </w:rPr>
              <w:t>nterpretación correctos.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5325E3" w14:textId="01C54682" w:rsidR="00C85F10" w:rsidRDefault="00C85F1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127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5E13959" w14:textId="77777777" w:rsidR="00C85F10" w:rsidRDefault="00C85F1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075395" w14:paraId="1C09399C" w14:textId="77777777" w:rsidTr="00C8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E33528" w14:textId="10030E0D" w:rsidR="00075395" w:rsidRPr="006069B6" w:rsidRDefault="00075395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4841D6">
              <w:rPr>
                <w:rFonts w:cs="UnitOT-Med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7AECB6" w14:textId="4075FE6F" w:rsidR="00075395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2. Apartado a. El programa funciona.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ED7F043" w14:textId="09AEB5A7" w:rsidR="00075395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2914A1" w14:textId="681D848E" w:rsidR="00075395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C85F10" w14:paraId="7B9DE1A9" w14:textId="77777777" w:rsidTr="00C85F1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8F3D656" w14:textId="68398A91" w:rsidR="00C85F10" w:rsidRPr="006069B6" w:rsidRDefault="00C85F10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7271B7" w14:textId="199E62BB" w:rsidR="00C85F10" w:rsidRDefault="00C85F1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85F10">
              <w:rPr>
                <w:rFonts w:cs="UnitOT-Light"/>
                <w:sz w:val="20"/>
                <w:szCs w:val="20"/>
              </w:rPr>
              <w:t>Problema 2. Apartado b. Tabla de resultados correcta.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A815678" w14:textId="30FE8A49" w:rsidR="00C85F10" w:rsidRDefault="00C85F1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127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6EDEFD07" w14:textId="13ED0066" w:rsidR="00C85F10" w:rsidRDefault="00C85F1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C85F10" w14:paraId="117776B4" w14:textId="77777777" w:rsidTr="00C8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308415F" w14:textId="01C89EC3" w:rsidR="00C85F10" w:rsidRPr="006069B6" w:rsidRDefault="00C85F10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EC078FB" w14:textId="5D827FFA" w:rsidR="00C85F10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85F10">
              <w:rPr>
                <w:rFonts w:cs="UnitOT-Light"/>
                <w:sz w:val="20"/>
                <w:szCs w:val="20"/>
              </w:rPr>
              <w:t>Problema 2. Apartado b. Gráfica correcta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8EE1A1D" w14:textId="300BEC0F" w:rsidR="00C85F10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127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16CAEB8" w14:textId="77777777" w:rsidR="00C85F10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C85F10" w14:paraId="640CAAEF" w14:textId="77777777" w:rsidTr="00C85F1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F119129" w14:textId="7CD5F303" w:rsidR="00C85F10" w:rsidRPr="006069B6" w:rsidRDefault="00C85F10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FAAD75" w14:textId="321C96E7" w:rsidR="00C85F10" w:rsidRDefault="00C85F1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85F10">
              <w:rPr>
                <w:rFonts w:cs="UnitOT-Light"/>
                <w:sz w:val="20"/>
                <w:szCs w:val="20"/>
              </w:rPr>
              <w:t>Problema 2. Apartado c. Tabla de resultados correcta.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EDD39FE" w14:textId="546BD79C" w:rsidR="00C85F10" w:rsidRDefault="00C85F1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127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6806B2F7" w14:textId="3897C4CA" w:rsidR="00C85F10" w:rsidRDefault="00C85F1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  <w:bookmarkStart w:id="1" w:name="_GoBack"/>
            <w:bookmarkEnd w:id="1"/>
          </w:p>
        </w:tc>
      </w:tr>
      <w:tr w:rsidR="00C85F10" w14:paraId="644C0B02" w14:textId="77777777" w:rsidTr="00C8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50680AB" w14:textId="3AC68CC1" w:rsidR="00C85F10" w:rsidRPr="006069B6" w:rsidRDefault="00C85F10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58304E6" w14:textId="55135810" w:rsidR="00C85F10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85F10">
              <w:rPr>
                <w:rFonts w:cs="UnitOT-Light"/>
                <w:sz w:val="20"/>
                <w:szCs w:val="20"/>
              </w:rPr>
              <w:t>Problema 2. Apartado c. Gráfica correcta.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E5FD128" w14:textId="483B658C" w:rsidR="00C85F10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127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CE7D10E" w14:textId="77777777" w:rsidR="00C85F10" w:rsidRDefault="00C85F1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A2D1A" w14:paraId="4DB75F63" w14:textId="77777777" w:rsidTr="00484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25494" w14:textId="77777777" w:rsidR="004E506A" w:rsidRDefault="004E506A" w:rsidP="00C50246">
      <w:pPr>
        <w:spacing w:line="240" w:lineRule="auto"/>
      </w:pPr>
      <w:r>
        <w:separator/>
      </w:r>
    </w:p>
  </w:endnote>
  <w:endnote w:type="continuationSeparator" w:id="0">
    <w:p w14:paraId="0C21E853" w14:textId="77777777" w:rsidR="004E506A" w:rsidRDefault="004E506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 Nova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85F1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85F1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C067" w14:textId="77777777" w:rsidR="004E506A" w:rsidRDefault="004E506A" w:rsidP="00C50246">
      <w:pPr>
        <w:spacing w:line="240" w:lineRule="auto"/>
      </w:pPr>
      <w:r>
        <w:separator/>
      </w:r>
    </w:p>
  </w:footnote>
  <w:footnote w:type="continuationSeparator" w:id="0">
    <w:p w14:paraId="3FE41272" w14:textId="77777777" w:rsidR="004E506A" w:rsidRDefault="004E506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CAC44DB" w:rsidR="00A90972" w:rsidRPr="00472B27" w:rsidRDefault="001B6AC4" w:rsidP="00C65063">
          <w:pPr>
            <w:pStyle w:val="Textocajaactividades"/>
          </w:pPr>
          <w:r w:rsidRPr="001B6AC4">
            <w:t>Métodos Numéricos Avanzados en Ingeniería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6D1F18C3"/>
    <w:multiLevelType w:val="multilevel"/>
    <w:tmpl w:val="B37C3B20"/>
    <w:numStyleLink w:val="VietasUNIR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3"/>
  </w:num>
  <w:num w:numId="4">
    <w:abstractNumId w:val="14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4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5"/>
  </w:num>
  <w:num w:numId="25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5395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6AC4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841D6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5F10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7ADDF4-D29D-4ADF-B1DD-86F600F4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11</cp:revision>
  <cp:lastPrinted>2017-09-08T09:41:00Z</cp:lastPrinted>
  <dcterms:created xsi:type="dcterms:W3CDTF">2020-05-19T12:15:00Z</dcterms:created>
  <dcterms:modified xsi:type="dcterms:W3CDTF">2020-10-22T09:17:00Z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