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Avgi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løsningsmønster</w:t>
      </w:r>
      <w:r>
        <w:t xml:space="preserve"> </w:t>
      </w:r>
      <w:r>
        <w:t xml:space="preserve">UHF</w:t>
      </w:r>
    </w:p>
    <w:p>
      <w:pPr>
        <w:pStyle w:val="Date"/>
      </w:pPr>
      <w:r>
        <w:t xml:space="preserve">2021-02-17</w:t>
      </w:r>
    </w:p>
    <w:p>
      <w:pPr>
        <w:pStyle w:val="FirstParagraph"/>
      </w:pPr>
      <w:r>
        <w:t xml:space="preserve">En prosessflyt en tilbyder av data utfører for å svare på en dataforespørsel. Tilbyder mottar forespørsel om oppslag med et aksesstoken. Klienten som forespør autentiseres og token valideres. Eventuelt mer fin-granulert tilgangskontroll utføres og data returneres. Tilgang kontrolleres kun dersom det er snakk om et sikret API.</w:t>
      </w:r>
    </w:p>
    <w:p>
      <w:pPr>
        <w:pStyle w:val="CaptionedFigure"/>
      </w:pPr>
      <w:r>
        <w:drawing>
          <wp:inline>
            <wp:extent cx="5334000" cy="3324086"/>
            <wp:effectExtent b="0" l="0" r="0" t="0"/>
            <wp:docPr descr="Avgi data - løsningsmønster UHF" title="" id="1" name="Picture"/>
            <a:graphic>
              <a:graphicData uri="http://schemas.openxmlformats.org/drawingml/2006/picture">
                <pic:pic>
                  <pic:nvPicPr>
                    <pic:cNvPr descr="../images/Avgi%20data%20-%20løsningsmønster%20UH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Avgi data - løsningsmønster UHF</w:t>
      </w:r>
    </w:p>
    <w:p>
      <w:pPr>
        <w:pStyle w:val="TableCaption"/>
      </w:pPr>
      <w:r>
        <w:t xml:space="preserve">Elementer i view for Avgi data - løsningsmønster UHF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Elementer i view for Avgi data - løsningsmønster UHF"/>
      </w:tblPr>
      <w:tblGrid>
        <w:gridCol w:w="1980"/>
        <w:gridCol w:w="5940"/>
      </w:tblGrid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Beskrivelse</w:t>
            </w:r>
          </w:p>
        </w:tc>
      </w:tr>
      <w:tr>
        <w:tc>
          <w:p>
            <w:pPr>
              <w:jc w:val="left"/>
            </w:pPr>
            <w:r>
              <w:t xml:space="preserve">Egen autorisasjons-komponent &lt;application-component&gt;</w:t>
            </w:r>
          </w:p>
        </w:tc>
        <w:tc>
          <w:p>
            <w:pPr>
              <w:jc w:val="left"/>
            </w:pPr>
            <w:r>
              <w:t xml:space="preserve">Komponent for å håndheve virksomhetens regler for tilgang.</w:t>
            </w:r>
            <w:r>
              <w:t xml:space="preserve"> </w:t>
            </w:r>
            <w:r>
              <w:t xml:space="preserve">Også kalt policy enforcement point (PEP).</w:t>
            </w:r>
          </w:p>
        </w:tc>
      </w:tr>
      <w:tr>
        <w:tc>
          <w:p>
            <w:pPr>
              <w:jc w:val="left"/>
            </w:pPr>
            <w:r>
              <w:t xml:space="preserve">Altinn autorisasjon &lt;application-component&gt;</w:t>
            </w:r>
          </w:p>
        </w:tc>
        <w:tc>
          <w:p>
            <w:pPr>
              <w:jc w:val="left"/>
            </w:pPr>
            <w:r>
              <w:t xml:space="preserve">[Torget]</w:t>
            </w:r>
            <w:r>
              <w:t xml:space="preserve"> </w:t>
            </w:r>
            <w:r>
              <w:t xml:space="preserve">Autorisasjonskomponenten i Altinn som gir muligheter til å delegere rettigheter til andre organisasjoner eller personer. Rettigheter til bruk av autorisasjonskomponenten baserer seg på registrerte roller i Enhetsregisteret.</w:t>
            </w:r>
            <w:r>
              <w:t xml:space="preserve"> </w:t>
            </w:r>
            <w:r>
              <w:t xml:space="preserve">Altinn autorisasjon leverer også tjenester for å registrere og kontrollere samtykke gitt av person eller virksomhet.</w:t>
            </w:r>
          </w:p>
          <w:p>
            <w:pPr>
              <w:jc w:val="left"/>
            </w:pPr>
            <w:r>
              <w:t xml:space="preserve">[Verktøykasse for deling av data]</w:t>
            </w:r>
            <w:r>
              <w:t xml:space="preserve"> </w:t>
            </w:r>
            <w:r>
              <w:t xml:space="preserve">Altinn autorisasjon gir teknisk samhandlingsevne ved at bruker logger inn med elektronisk ID,</w:t>
            </w:r>
            <w:r>
              <w:t xml:space="preserve"> </w:t>
            </w:r>
            <w:r>
              <w:t xml:space="preserve">autorisasjonskomponenten sjekker at bruker har de tilgangene som kreves for å ta i bruk aktuell tjeneste.</w:t>
            </w:r>
          </w:p>
          <w:p>
            <w:pPr>
              <w:jc w:val="left"/>
            </w:pPr>
            <w:r>
              <w:t xml:space="preserve">Dersom en privatperson skal ta i bruk en tjeneste på vegne av en virksomhet, gjøres det et oppslag mot Enhetsregisteret for å bekrefte at personen har en rolle på vegne av virksomheten. Dette gir organisatorisk samhandlingsevne.</w:t>
            </w:r>
          </w:p>
          <w:p>
            <w:pPr>
              <w:jc w:val="left"/>
            </w:pPr>
            <w:r>
              <w:t xml:space="preserve">Mer om Altinn autorisasjon: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https://www.altinndigital.no/produkter/styring-av-tilgang/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Datatilbyder &lt;business-role&gt;</w:t>
            </w:r>
          </w:p>
        </w:tc>
        <w:tc>
          <w:p>
            <w:pPr>
              <w:jc w:val="left"/>
            </w:pPr>
            <w:r>
              <w:t xml:space="preserve">Tilbyder av data til andre aktører.</w:t>
            </w:r>
          </w:p>
          <w:p>
            <w:pPr>
              <w:jc w:val="left"/>
            </w:pPr>
            <w:r>
              <w:t xml:space="preserve">Datatibyder har definisjonsrett og har rettigheter til å behandle data</w:t>
            </w:r>
            <w:r>
              <w:t xml:space="preserve"> </w:t>
            </w:r>
            <w:r>
              <w:t xml:space="preserve">Datatilbyder kan sette sammen data som tilbyderen har til et dataprodukt som tilbys datakonsumenter gjennom et API</w:t>
            </w:r>
          </w:p>
        </w:tc>
      </w:tr>
      <w:tr>
        <w:tc>
          <w:p>
            <w:pPr>
              <w:jc w:val="left"/>
            </w:pPr>
            <w:r>
              <w:t xml:space="preserve">Tilgangskontroll-tjeneste &lt;application-service&gt;</w:t>
            </w:r>
          </w:p>
        </w:tc>
        <w:tc>
          <w:p>
            <w:pPr>
              <w:jc w:val="left"/>
            </w:pPr>
            <w:r>
              <w:t xml:space="preserve">Tjeneste for å sjekke rettigheter til data. Kan være eksterne eller interne tjenester. Disse rettigheter kan være mer finkornet enn tilgangene administrert av autorisasjonstjeneren.</w:t>
            </w:r>
            <w:r>
              <w:t xml:space="preserve"> </w:t>
            </w:r>
            <w:r>
              <w:t xml:space="preserve">Eksempler på rettigheter kan komme av samtykker fra person eller virksomhet, eller rollebasert fra vergemål, familierelasjon el.</w:t>
            </w:r>
          </w:p>
        </w:tc>
      </w:tr>
      <w:tr>
        <w:tc>
          <w:p>
            <w:pPr>
              <w:jc w:val="left"/>
            </w:pPr>
            <w:r>
              <w:t xml:space="preserve">Avgi forespurte data gjennom API &lt;business-process&gt;</w:t>
            </w:r>
          </w:p>
        </w:tc>
        <w:tc>
          <w:p>
            <w:pPr>
              <w:jc w:val="left"/>
            </w:pPr>
            <w:r>
              <w:t xml:space="preserve">Prosessen med å avgi data på forespørsel gjennom et egnet API.</w:t>
            </w:r>
          </w:p>
        </w:tc>
      </w:tr>
      <w:tr>
        <w:tc>
          <w:p>
            <w:pPr>
              <w:jc w:val="left"/>
            </w:pPr>
            <w:r>
              <w:t xml:space="preserve">Motta forespørsel om oppslag &lt;business-process&gt;</w:t>
            </w:r>
          </w:p>
        </w:tc>
        <w:tc>
          <w:p>
            <w:pPr>
              <w:jc w:val="left"/>
            </w:pPr>
            <w:r>
              <w:t xml:space="preserve">Motta forespørsler fra API-konsument om å avgi data.</w:t>
            </w:r>
          </w:p>
        </w:tc>
      </w:tr>
      <w:tr>
        <w:tc>
          <w:p>
            <w:pPr>
              <w:jc w:val="left"/>
            </w:pPr>
            <w:r>
              <w:t xml:space="preserve">Avgi data &lt;business-process&gt;</w:t>
            </w:r>
          </w:p>
        </w:tc>
        <w:tc>
          <w:p>
            <w:pPr>
              <w:jc w:val="left"/>
            </w:pPr>
            <w:r>
              <w:t xml:space="preserve">Prosessen med å gi svar på forespørselen.</w:t>
            </w:r>
          </w:p>
        </w:tc>
      </w:tr>
      <w:tr>
        <w:tc>
          <w:p>
            <w:pPr>
              <w:jc w:val="left"/>
            </w:pPr>
            <w:r>
              <w:t xml:space="preserve">Kontroller tilgang &lt;business-process&gt;</w:t>
            </w:r>
          </w:p>
        </w:tc>
        <w:tc>
          <w:p>
            <w:pPr>
              <w:jc w:val="left"/>
            </w:pPr>
            <w:r>
              <w:t xml:space="preserve">Kontroll og håndheving av konsumentens rettigheter til å få forespurte data. I tillegg til "validering av sikkerhetsbillett", kan det være behov for kontroll mot virksomhetsinterne policies.</w:t>
            </w:r>
          </w:p>
        </w:tc>
      </w:tr>
      <w:tr>
        <w:tc>
          <w:p>
            <w:pPr>
              <w:jc w:val="left"/>
            </w:pPr>
            <w:r>
              <w:t xml:space="preserve">Autentisere konsument &lt;business-process&gt;</w:t>
            </w:r>
          </w:p>
        </w:tc>
        <w:tc>
          <w:p>
            <w:pPr>
              <w:jc w:val="left"/>
            </w:pPr>
            <w:r>
              <w:t xml:space="preserve">Prosessen med å autentisere en konsument.</w:t>
            </w:r>
          </w:p>
        </w:tc>
      </w:tr>
      <w:tr>
        <w:tc>
          <w:p>
            <w:pPr>
              <w:jc w:val="left"/>
            </w:pPr>
            <w:r>
              <w:t xml:space="preserve">Datautvekslings-tjeneste &lt;application-service&gt;</w:t>
            </w:r>
          </w:p>
        </w:tc>
        <w:tc>
          <w:p>
            <w:pPr>
              <w:jc w:val="left"/>
            </w:pPr>
            <w:r>
              <w:t xml:space="preserve">Tjeneste for utveksling av data over aktuell transportprotokoll, f.eks, gjennom asynkrone medlinger eller synkrone API-oppslag.</w:t>
            </w:r>
          </w:p>
        </w:tc>
      </w:tr>
      <w:tr>
        <w:tc>
          <w:p>
            <w:pPr>
              <w:jc w:val="left"/>
            </w:pPr>
            <w:r>
              <w:t xml:space="preserve">Datautvekslings-tjeneste &lt;application-service&gt;</w:t>
            </w:r>
          </w:p>
        </w:tc>
        <w:tc>
          <w:p>
            <w:pPr>
              <w:jc w:val="left"/>
            </w:pPr>
            <w:r>
              <w:t xml:space="preserve">Tjeneste for utveksling av data over aktuell transportprotokoll, f.eks, gjennom asynkrone medlinger eller synkrone API-oppslag.</w:t>
            </w:r>
          </w:p>
        </w:tc>
      </w:tr>
      <w:tr>
        <w:tc>
          <w:p>
            <w:pPr>
              <w:jc w:val="left"/>
            </w:pPr>
            <w:r>
              <w:t xml:space="preserve">Tokenvaliderings-tjeneste &lt;application-service&gt;</w:t>
            </w:r>
          </w:p>
        </w:tc>
        <w:tc>
          <w:p>
            <w:pPr>
              <w:jc w:val="left"/>
            </w:pPr>
            <w:r>
              <w:t xml:space="preserve">Tjeneste som benyttes av tilbyder for å validere og kontrollere autentisiteten til et OAUTH2 token fra Maskinporten</w:t>
            </w:r>
          </w:p>
        </w:tc>
      </w:tr>
      <w:tr>
        <w:tc>
          <w:p>
            <w:pPr>
              <w:jc w:val="left"/>
            </w:pPr>
            <w:r>
              <w:t xml:space="preserve">Avgi data &lt;capability&gt;</w:t>
            </w:r>
          </w:p>
        </w:tc>
        <w:tc>
          <w:p>
            <w:pPr>
              <w:jc w:val="left"/>
            </w:pPr>
            <w:r>
              <w:t xml:space="preserve">Evne til å avgi data på forespørsel. Kan omfatte tilgangsstyring.</w:t>
            </w:r>
          </w:p>
        </w:tc>
      </w:tr>
      <w:tr>
        <w:tc>
          <w:p>
            <w:pPr>
              <w:jc w:val="left"/>
            </w:pPr>
            <w:r>
              <w:t xml:space="preserve">API Gateway hos datatilbyder / OAuth resource server &lt;application-component&gt;</w:t>
            </w:r>
          </w:p>
        </w:tc>
        <w:tc>
          <w:p>
            <w:pPr>
              <w:jc w:val="left"/>
            </w:pPr>
            <w:r>
              <w:t xml:space="preserve">API gateway beskytter ressurser og monitorerer tilgang.</w:t>
            </w:r>
            <w:r>
              <w:t xml:space="preserve"> </w:t>
            </w:r>
            <w:r>
              <w:t xml:space="preserve">Den håndhever tilgangsstyring ved å validere aksesstokens og utfører eventuell fin-granulert tilgangskontroll.</w:t>
            </w:r>
            <w:r>
              <w:t xml:space="preserve"> </w:t>
            </w:r>
            <w:r>
              <w:t xml:space="preserve">Den håndhever også volumbegrenseninger og samler data om bruken av APIer (logging).</w:t>
            </w:r>
          </w:p>
          <w:p>
            <w:pPr>
              <w:jc w:val="left"/>
            </w:pPr>
            <w:r>
              <w:t xml:space="preserve">Komponent som beskytter ressursene og monitorerer tilgang inklusivt:</w:t>
            </w:r>
          </w:p>
          <w:p>
            <w:pPr>
              <w:jc w:val="left"/>
            </w:pPr>
            <w:r>
              <w:t xml:space="preserve">* Validere tilgangstoken</w:t>
            </w:r>
            <w:r>
              <w:t xml:space="preserve"> </w:t>
            </w:r>
            <w:r>
              <w:t xml:space="preserve">* Beskytte mot inntrenging og andre trusler</w:t>
            </w:r>
            <w:r>
              <w:t xml:space="preserve"> </w:t>
            </w:r>
            <w:r>
              <w:t xml:space="preserve">* Håndtere volumbegrensninger og andre abonnementsordninger</w:t>
            </w:r>
            <w:r>
              <w:t xml:space="preserve"> </w:t>
            </w:r>
            <w:r>
              <w:t xml:space="preserve">* Håndheve tilgangsstyring</w:t>
            </w:r>
            <w:r>
              <w:t xml:space="preserve"> </w:t>
            </w:r>
            <w:r>
              <w:t xml:space="preserve">* Samle inn data om bruken av API-er</w:t>
            </w:r>
            <w:r>
              <w:t xml:space="preserve"> </w:t>
            </w:r>
            <w:r>
              <w:t xml:space="preserve">* Orkestrering mellom interntjenester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1" Target="https://www.altinndigital.no/produkter/styring-av-tilga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altinndigital.no/produkter/styring-av-tilg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Avgi data - løsningsmønster UHF</dc:title>
  <dc:creator/>
  <cp:keywords/>
  <dcterms:created xsi:type="dcterms:W3CDTF">2021-02-17T17:59:03Z</dcterms:created>
  <dcterms:modified xsi:type="dcterms:W3CDTF">2021-02-17T17:59:03Z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2021-02-17</vt:lpwstr>
  </property>
</Properties>
</file>