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Informasjonsforvaltningsdomener</w:t>
      </w:r>
    </w:p>
    <w:p>
      <w:pPr>
        <w:pStyle w:val="Date"/>
      </w:pPr>
      <w:r>
        <w:t xml:space="preserve">2021-02-08</w:t>
      </w:r>
    </w:p>
    <w:p>
      <w:pPr>
        <w:pStyle w:val="CaptionedFigure"/>
      </w:pPr>
      <w:r>
        <w:drawing>
          <wp:inline>
            <wp:extent cx="5334000" cy="2206573"/>
            <wp:effectExtent b="0" l="0" r="0" t="0"/>
            <wp:docPr descr="Informasjonsforvaltningsdomener" title="" id="1" name="Picture"/>
            <a:graphic>
              <a:graphicData uri="http://schemas.openxmlformats.org/drawingml/2006/picture">
                <pic:pic>
                  <pic:nvPicPr>
                    <pic:cNvPr descr="../images/Informasjonsforvaltningsdomen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Informasjonsforvaltningsdomener</w:t>
      </w:r>
    </w:p>
    <w:p>
      <w:pPr>
        <w:pStyle w:val="TableCaption"/>
      </w:pPr>
      <w:r>
        <w:t xml:space="preserve">Elementer i view for Informasjonsforvaltningsdomener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Elementer i view for Informasjonsforvaltningsdomener"/>
      </w:tblPr>
      <w:tblGrid>
        <w:gridCol w:w="1980"/>
        <w:gridCol w:w="5940"/>
      </w:tblGrid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Beskrivelse</w:t>
            </w:r>
          </w:p>
        </w:tc>
      </w:tr>
      <w:tr>
        <w:tc>
          <w:p>
            <w:pPr>
              <w:jc w:val="left"/>
            </w:pPr>
            <w:r>
              <w:t xml:space="preserve">Informasjonsforvaltningsdomener &lt;grouping&gt;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Strategi og styring &lt;capability&gt;</w:t>
            </w:r>
          </w:p>
        </w:tc>
        <w:tc>
          <w:p>
            <w:pPr>
              <w:jc w:val="left"/>
            </w:pPr>
            <w:r>
              <w:t xml:space="preserve">Hva organisasjonen gjør for å utvikle og opprettholde et sammenhengende bilde av fremtiden</w:t>
            </w:r>
          </w:p>
          <w:p>
            <w:pPr>
              <w:jc w:val="left"/>
            </w:pPr>
            <w:r>
              <w:t xml:space="preserve">EUNIS: Strategy and Governance</w:t>
            </w:r>
          </w:p>
        </w:tc>
      </w:tr>
      <w:tr>
        <w:tc>
          <w:p>
            <w:pPr>
              <w:jc w:val="left"/>
            </w:pPr>
            <w:r>
              <w:t xml:space="preserve">Kommersiell aktivitet &lt;capability&gt;</w:t>
            </w:r>
          </w:p>
        </w:tc>
        <w:tc>
          <w:p>
            <w:pPr>
              <w:jc w:val="left"/>
            </w:pPr>
            <w:r>
              <w:t xml:space="preserve">Alle egenskaper som kreves for å sikre at organisasjonen er i stand til å utvikle, levere, støtte og administrere kommersiell aktivitet.</w:t>
            </w:r>
          </w:p>
          <w:p>
            <w:pPr>
              <w:jc w:val="left"/>
            </w:pPr>
            <w:r>
              <w:t xml:space="preserve">EUNIS: Commerical activity</w:t>
            </w:r>
          </w:p>
        </w:tc>
      </w:tr>
      <w:tr>
        <w:tc>
          <w:p>
            <w:pPr>
              <w:jc w:val="left"/>
            </w:pPr>
            <w:r>
              <w:t xml:space="preserve">Undervisning og læring &lt;capability&gt;</w:t>
            </w:r>
          </w:p>
        </w:tc>
        <w:tc>
          <w:p>
            <w:pPr>
              <w:jc w:val="left"/>
            </w:pPr>
            <w:r>
              <w:t xml:space="preserve">Alle kapabiliteter som kreves for å sikre at organisasjonen er i stand til å utvikle, levere, støtte og administrere undervisning og læring og studentopplevelsen.</w:t>
            </w:r>
          </w:p>
          <w:p>
            <w:pPr>
              <w:jc w:val="left"/>
            </w:pPr>
            <w:r>
              <w:t xml:space="preserve">EUNIS: Teaching and learning</w:t>
            </w:r>
          </w:p>
        </w:tc>
      </w:tr>
      <w:tr>
        <w:tc>
          <w:p>
            <w:pPr>
              <w:jc w:val="left"/>
            </w:pPr>
            <w:r>
              <w:t xml:space="preserve">Leveranse av undervisning og læring &lt;capability&gt;</w:t>
            </w:r>
          </w:p>
        </w:tc>
        <w:tc>
          <w:p>
            <w:pPr>
              <w:jc w:val="left"/>
            </w:pPr>
            <w:r>
              <w:t xml:space="preserve">Alle aktiviteter som har som mål å levere en god læringsopplevelse til studentene i organisasjonen. Dette inkluderer formidling av undervisningsaktiviteter, så vel som andre aktiviteter som støtter en meningsfullt læringsmiljø.</w:t>
            </w:r>
          </w:p>
          <w:p>
            <w:pPr>
              <w:jc w:val="left"/>
            </w:pPr>
            <w:r>
              <w:t xml:space="preserve">EUNIS: Teaching and Learning Delivery</w:t>
            </w:r>
          </w:p>
        </w:tc>
      </w:tr>
      <w:tr>
        <w:tc>
          <w:p>
            <w:pPr>
              <w:jc w:val="left"/>
            </w:pPr>
            <w:r>
              <w:t xml:space="preserve">Undervisnings- og læringsinnhold &lt;capability&gt;</w:t>
            </w:r>
          </w:p>
        </w:tc>
        <w:tc>
          <w:p>
            <w:pPr>
              <w:jc w:val="left"/>
            </w:pPr>
            <w:r>
              <w:t xml:space="preserve">Ressurser i et bredt spekter av formater for å støtte læring og undervisning i organisasjonen. Dette inkluderer fysiske og digitale ressurser som virtuelle læringsmiljø og forelesningsfangst, tilgang til spesialiserte rom, bibliotek og andre relaterte fysiske og digitale tjenester.</w:t>
            </w:r>
          </w:p>
          <w:p>
            <w:pPr>
              <w:jc w:val="left"/>
            </w:pPr>
            <w:r>
              <w:t xml:space="preserve">EUNIS: Teaching and Learning Content</w:t>
            </w:r>
          </w:p>
        </w:tc>
      </w:tr>
      <w:tr>
        <w:tc>
          <w:p>
            <w:pPr>
              <w:jc w:val="left"/>
            </w:pPr>
            <w:r>
              <w:t xml:space="preserve">Studieadministrasjon &lt;capability&gt;</w:t>
            </w:r>
          </w:p>
        </w:tc>
        <w:tc>
          <w:p>
            <w:pPr>
              <w:jc w:val="left"/>
            </w:pPr>
            <w:r>
              <w:t xml:space="preserve">Alle aktiviteter som er rettet mot å håndtere faglige retningslinjer, forskrifter, planlegging og tilhørende tilbakemeldinger fra kunder.</w:t>
            </w:r>
          </w:p>
          <w:p>
            <w:pPr>
              <w:jc w:val="left"/>
            </w:pPr>
            <w:r>
              <w:t xml:space="preserve">EUNIS: Student Administration</w:t>
            </w:r>
          </w:p>
        </w:tc>
      </w:tr>
      <w:tr>
        <w:tc>
          <w:p>
            <w:pPr>
              <w:jc w:val="left"/>
            </w:pPr>
            <w:r>
              <w:t xml:space="preserve">Studieplanlegging &lt;capability&gt;</w:t>
            </w:r>
          </w:p>
        </w:tc>
        <w:tc>
          <w:p>
            <w:pPr>
              <w:jc w:val="left"/>
            </w:pPr>
            <w:r>
              <w:t xml:space="preserve">Alle aktiviteter rettet mot lærere og administratorer som samarbeider om opprettelse, utvikling, konstruksjon, gjennomgang, godkjenning, vurdering og foredling av pensuminnhold for å oppnå ønskede studentresultater.</w:t>
            </w:r>
          </w:p>
          <w:p>
            <w:pPr>
              <w:jc w:val="left"/>
            </w:pPr>
            <w:r>
              <w:t xml:space="preserve">EUNIS: Curriculum Management</w:t>
            </w:r>
          </w:p>
        </w:tc>
      </w:tr>
      <w:tr>
        <w:tc>
          <w:p>
            <w:pPr>
              <w:jc w:val="left"/>
            </w:pPr>
            <w:r>
              <w:t xml:space="preserve">Student-vurdering &lt;capability&gt;</w:t>
            </w:r>
          </w:p>
        </w:tc>
        <w:tc>
          <w:p>
            <w:pPr>
              <w:jc w:val="left"/>
            </w:pPr>
            <w:r>
              <w:t xml:space="preserve">Alle aktiviteter som har som mål å vurdere om en student har oppnådd læringsmålene.</w:t>
            </w:r>
          </w:p>
        </w:tc>
      </w:tr>
      <w:tr>
        <w:tc>
          <w:p>
            <w:pPr>
              <w:jc w:val="left"/>
            </w:pPr>
            <w:r>
              <w:t xml:space="preserve">Forskning &lt;capability&gt;</w:t>
            </w:r>
          </w:p>
        </w:tc>
        <w:tc>
          <w:p>
            <w:pPr>
              <w:jc w:val="left"/>
            </w:pPr>
            <w:r>
              <w:t xml:space="preserve">Alle egenskaper som kreves for å sikre at organisasjonen er i stand til å utvikle, levere, støtte og administrere forskning.</w:t>
            </w:r>
          </w:p>
          <w:p>
            <w:pPr>
              <w:jc w:val="left"/>
            </w:pPr>
            <w:r>
              <w:t xml:space="preserve">EUNIS: Research</w:t>
            </w:r>
          </w:p>
        </w:tc>
      </w:tr>
      <w:tr>
        <w:tc>
          <w:p>
            <w:pPr>
              <w:jc w:val="left"/>
            </w:pPr>
            <w:r>
              <w:t xml:space="preserve">Forskningsproduksjon &lt;capability&gt;</w:t>
            </w:r>
          </w:p>
        </w:tc>
        <w:tc>
          <w:p>
            <w:pPr>
              <w:jc w:val="left"/>
            </w:pPr>
            <w:r>
              <w:t xml:space="preserve">Alle aktiviteter rettet mot å gjennomføre og levere selve forskningen.</w:t>
            </w:r>
          </w:p>
          <w:p>
            <w:pPr>
              <w:jc w:val="left"/>
            </w:pPr>
            <w:r>
              <w:t xml:space="preserve">EUNIS: Research Delivery</w:t>
            </w:r>
          </w:p>
        </w:tc>
      </w:tr>
      <w:tr>
        <w:tc>
          <w:p>
            <w:pPr>
              <w:jc w:val="left"/>
            </w:pPr>
            <w:r>
              <w:t xml:space="preserve">Kurratering av forskningsdata &lt;capability&gt;</w:t>
            </w:r>
          </w:p>
        </w:tc>
        <w:tc>
          <w:p>
            <w:pPr>
              <w:jc w:val="left"/>
            </w:pPr>
            <w:r>
              <w:t xml:space="preserve">Hva organisasjonen gjør for å lagre, dele, bruke og gjenbruke datasett produsert fra forskningsprosjekter, inkludert datasettstyringsplanlegging og kuratering av datasett utover levetiden til enkeltprosjekter.</w:t>
            </w:r>
          </w:p>
          <w:p>
            <w:pPr>
              <w:jc w:val="left"/>
            </w:pPr>
            <w:r>
              <w:t xml:space="preserve">EUNIS: Dataset management</w:t>
            </w:r>
          </w:p>
        </w:tc>
      </w:tr>
      <w:tr>
        <w:tc>
          <w:p>
            <w:pPr>
              <w:jc w:val="left"/>
            </w:pPr>
            <w:r>
              <w:t xml:space="preserve">Forskningsforvaltning og prioritering &lt;capability&gt;</w:t>
            </w:r>
          </w:p>
        </w:tc>
        <w:tc>
          <w:p>
            <w:pPr>
              <w:jc w:val="left"/>
            </w:pPr>
            <w:r>
              <w:t xml:space="preserve">Hva organisasjonen gjør for å forvalte resultatene fra forskningsprosjekter, inkludert bevaring utover levetiden til enkeltprosjekter.</w:t>
            </w:r>
          </w:p>
          <w:p>
            <w:pPr>
              <w:jc w:val="left"/>
            </w:pPr>
            <w:r>
              <w:t xml:space="preserve">EUNIS: Output Management</w:t>
            </w:r>
          </w:p>
        </w:tc>
      </w:tr>
      <w:tr>
        <w:tc>
          <w:p>
            <w:pPr>
              <w:jc w:val="left"/>
            </w:pPr>
            <w:r>
              <w:t xml:space="preserve">Forskningsproduksjon i prosjekt &lt;capability&gt;</w:t>
            </w:r>
          </w:p>
        </w:tc>
        <w:tc>
          <w:p>
            <w:pPr>
              <w:jc w:val="left"/>
            </w:pPr>
            <w:r>
              <w:t xml:space="preserve">Hva organisasjonen gjør for å produsere forskning. Dette er utførelsen av forskningsprosjektet.</w:t>
            </w:r>
          </w:p>
        </w:tc>
      </w:tr>
      <w:tr>
        <w:tc>
          <w:p>
            <w:pPr>
              <w:jc w:val="left"/>
            </w:pPr>
            <w:r>
              <w:t xml:space="preserve">Forskningspublisering &lt;capability&gt;</w:t>
            </w:r>
          </w:p>
        </w:tc>
        <w:tc>
          <w:p>
            <w:pPr>
              <w:jc w:val="left"/>
            </w:pPr>
            <w:r>
              <w:t xml:space="preserve">Alle aktiviteter rettet mot å publisere forskningsresultater og rapportere resultater.</w:t>
            </w:r>
          </w:p>
        </w:tc>
      </w:tr>
      <w:tr>
        <w:tc>
          <w:p>
            <w:pPr>
              <w:jc w:val="left"/>
            </w:pPr>
            <w:r>
              <w:t xml:space="preserve">Rapportering av forskningsresultater &lt;capability&gt;</w:t>
            </w:r>
          </w:p>
        </w:tc>
        <w:tc>
          <w:p>
            <w:pPr>
              <w:jc w:val="left"/>
            </w:pPr>
            <w:r>
              <w:t xml:space="preserve">Hva organisasjonen gjør for å utvikle og produsere rapporter om forskningsresultater, inkludert de som er nødvendige for å oppfylle kravene fra finansieringsorganer.</w:t>
            </w:r>
          </w:p>
          <w:p>
            <w:pPr>
              <w:jc w:val="left"/>
            </w:pPr>
            <w:r>
              <w:t xml:space="preserve">EUNIS: Output Reporting</w:t>
            </w:r>
          </w:p>
        </w:tc>
      </w:tr>
      <w:tr>
        <w:tc>
          <w:p>
            <w:pPr>
              <w:jc w:val="left"/>
            </w:pPr>
            <w:r>
              <w:t xml:space="preserve">Publiseringsforvaltning &lt;capability&gt;</w:t>
            </w:r>
          </w:p>
        </w:tc>
        <w:tc>
          <w:p>
            <w:pPr>
              <w:jc w:val="left"/>
            </w:pPr>
            <w:r>
              <w:t xml:space="preserve">Hva organisasjonen gjør for å publisere og fremme forskningsresultater, og administrere publikasjonssamlingene sine helhetlig for å maksimere virkningen av dem.</w:t>
            </w:r>
          </w:p>
          <w:p>
            <w:pPr>
              <w:jc w:val="left"/>
            </w:pPr>
            <w:r>
              <w:t xml:space="preserve">EUNIS: Publication Management</w:t>
            </w:r>
          </w:p>
        </w:tc>
      </w:tr>
      <w:tr>
        <w:tc>
          <w:p>
            <w:pPr>
              <w:jc w:val="left"/>
            </w:pPr>
            <w:r>
              <w:t xml:space="preserve">Forskningsfinansiering &lt;capability&gt;</w:t>
            </w:r>
          </w:p>
        </w:tc>
        <w:tc>
          <w:p>
            <w:pPr>
              <w:jc w:val="left"/>
            </w:pPr>
            <w:r>
              <w:t xml:space="preserve">Alle aktiviteter rettet mot å skaffe og forvalte midler til å gjennomføre forskningsprosjekter.</w:t>
            </w:r>
          </w:p>
          <w:p>
            <w:pPr>
              <w:jc w:val="left"/>
            </w:pPr>
            <w:r>
              <w:t xml:space="preserve">EUNIS: Research funding</w:t>
            </w:r>
          </w:p>
        </w:tc>
      </w:tr>
      <w:tr>
        <w:tc>
          <w:p>
            <w:pPr>
              <w:jc w:val="left"/>
            </w:pPr>
            <w:r>
              <w:t xml:space="preserve">Personadministrasjon &lt;capability&gt;</w:t>
            </w:r>
          </w:p>
        </w:tc>
        <w:tc>
          <w:p>
            <w:pPr>
              <w:jc w:val="left"/>
            </w:pPr>
            <w:r>
              <w:t xml:space="preserve">What the organization does to ensure a positive work environment, foucs on individual and collective relationsships, indlucding unions, resolve workplace issues through intervention when necessary.</w:t>
            </w:r>
          </w:p>
          <w:p>
            <w:pPr>
              <w:jc w:val="left"/>
            </w:pPr>
            <w:r>
              <w:t xml:space="preserve">EUNIS: Human Resource Management</w:t>
            </w:r>
          </w:p>
        </w:tc>
      </w:tr>
      <w:tr>
        <w:tc>
          <w:p>
            <w:pPr>
              <w:jc w:val="left"/>
            </w:pPr>
            <w:r>
              <w:t xml:space="preserve">Identitets-håndtering og tilgangsstyring &lt;capability&gt;</w:t>
            </w:r>
          </w:p>
        </w:tc>
        <w:tc>
          <w:p>
            <w:pPr>
              <w:jc w:val="left"/>
            </w:pPr>
            <w:r>
              <w:t xml:space="preserve">What the organization does to manage data on IT systems and applications about users. Managed data includes user objects, identity attributes, security entitlements and authentication factors.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Informasjonsforvaltningsdomener</dc:title>
  <dc:creator/>
  <cp:keywords/>
  <dcterms:created xsi:type="dcterms:W3CDTF">2021-02-08T16:20:47Z</dcterms:created>
  <dcterms:modified xsi:type="dcterms:W3CDTF">2021-02-08T16:20:47Z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2021-02-08</vt:lpwstr>
  </property>
</Properties>
</file>