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Innhente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løsningsmønster</w:t>
      </w:r>
      <w:r>
        <w:t xml:space="preserve"> </w:t>
      </w:r>
      <w:r>
        <w:t xml:space="preserve">UHF</w:t>
      </w:r>
    </w:p>
    <w:p>
      <w:pPr>
        <w:pStyle w:val="Date"/>
      </w:pPr>
      <w:r>
        <w:t xml:space="preserve">2021-02-17</w:t>
      </w:r>
    </w:p>
    <w:p>
      <w:pPr>
        <w:pStyle w:val="FirstParagraph"/>
      </w:pPr>
      <w:r>
        <w:t xml:space="preserve">En prosessflyt en konsument utfører når det utføres et tjenestekall for å innhente data gjennom et API. API-adressen hentes i API-katalogen. Tilgang til APIet byttes inn mot et kjøretids-token i autoriseringstjenesten. Tjenestekall til APIet utføres gjennom API gateway der tokenet benyttes for å få tilgang. Dersom det er et åpent API er det kun relevante prossessteg som utføres.</w:t>
      </w:r>
    </w:p>
    <w:p>
      <w:pPr>
        <w:pStyle w:val="CaptionedFigure"/>
      </w:pPr>
      <w:r>
        <w:drawing>
          <wp:inline>
            <wp:extent cx="5334000" cy="2984997"/>
            <wp:effectExtent b="0" l="0" r="0" t="0"/>
            <wp:docPr descr="Innhente data - løsningsmønster UHF" title="" id="1" name="Picture"/>
            <a:graphic>
              <a:graphicData uri="http://schemas.openxmlformats.org/drawingml/2006/picture">
                <pic:pic>
                  <pic:nvPicPr>
                    <pic:cNvPr descr="../images/Innhente%20data%20-%20løsningsmønster%20UH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Innhente data - løsningsmønster UHF</w:t>
      </w:r>
    </w:p>
    <w:p>
      <w:pPr>
        <w:pStyle w:val="TableCaption"/>
      </w:pPr>
      <w:r>
        <w:t xml:space="preserve">Elementer i view for Innhente data - løsningsmønster UHF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Innhente data - løsningsmønster UHF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UHF Infrastruktur &lt;grouping&gt;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Datautvekslings-tjeneste &lt;application-service&gt;</w:t>
            </w:r>
          </w:p>
        </w:tc>
        <w:tc>
          <w:p>
            <w:pPr>
              <w:jc w:val="left"/>
            </w:pPr>
            <w:r>
              <w:t xml:space="preserve">Tjeneste for utveksling av data over aktuell transportprotokoll, f.eks, gjennom asynkrone medlinger eller synkrone API-oppslag.</w:t>
            </w:r>
          </w:p>
        </w:tc>
      </w:tr>
      <w:tr>
        <w:tc>
          <w:p>
            <w:pPr>
              <w:jc w:val="left"/>
            </w:pPr>
            <w:r>
              <w:t xml:space="preserve">Samtykkeregistererings-tjeneste &lt;application-service&gt;</w:t>
            </w:r>
          </w:p>
        </w:tc>
        <w:tc>
          <w:p>
            <w:pPr>
              <w:jc w:val="left"/>
            </w:pPr>
            <w:r>
              <w:t xml:space="preserve">Tjeneste for å innhente samtykke fra den registrert som dataene gjelder. Dette kan være en person eller en virksomhet.</w:t>
            </w:r>
          </w:p>
        </w:tc>
      </w:tr>
      <w:tr>
        <w:tc>
          <w:p>
            <w:pPr>
              <w:jc w:val="left"/>
            </w:pPr>
            <w:r>
              <w:t xml:space="preserve">Adressetjeneste &lt;application-service&gt;</w:t>
            </w:r>
          </w:p>
        </w:tc>
        <w:tc>
          <w:p>
            <w:pPr>
              <w:jc w:val="left"/>
            </w:pPr>
            <w:r>
              <w:t xml:space="preserve">Tjeneste som gir mulighet til å slå opp teknisk endepunkt</w:t>
            </w:r>
          </w:p>
        </w:tc>
      </w:tr>
      <w:tr>
        <w:tc>
          <w:p>
            <w:pPr>
              <w:jc w:val="left"/>
            </w:pPr>
            <w:r>
              <w:t xml:space="preserve">Virksomhetssertifikat &lt;data-object&gt;</w:t>
            </w:r>
          </w:p>
        </w:tc>
        <w:tc>
          <w:p>
            <w:pPr>
              <w:jc w:val="left"/>
            </w:pPr>
            <w:r>
              <w:t xml:space="preserve">En virksomhets elektroniske ID. Benyttes for å autentisere virksomheten overfor tokentjenesten.</w:t>
            </w:r>
          </w:p>
        </w:tc>
      </w:tr>
      <w:tr>
        <w:tc>
          <w:p>
            <w:pPr>
              <w:jc w:val="left"/>
            </w:pPr>
            <w:r>
              <w:t xml:space="preserve">Tokentjeneste &lt;application-service&gt;</w:t>
            </w:r>
          </w:p>
        </w:tc>
        <w:tc>
          <w:p>
            <w:pPr>
              <w:jc w:val="left"/>
            </w:pPr>
            <w:r>
              <w:t xml:space="preserve">Tjeneste som utsteder sikkerhetsbilletter. Sikkerhetsbillett utstedes basert på tildelte rettigheter og eventuelle representasjonsforhold.</w:t>
            </w:r>
          </w:p>
        </w:tc>
      </w:tr>
      <w:tr>
        <w:tc>
          <w:p>
            <w:pPr>
              <w:jc w:val="left"/>
            </w:pPr>
            <w:r>
              <w:t xml:space="preserve">Oppslag representasjons-forhold &lt;application-service&gt;</w:t>
            </w:r>
          </w:p>
        </w:tc>
        <w:tc>
          <w:p>
            <w:pPr>
              <w:jc w:val="left"/>
            </w:pPr>
            <w:r>
              <w:t xml:space="preserve">Tjeneste som benyttes av tokentjenesten for å kontrollere om det foreligger et delegert representasjonsforhold fra konsument til leverendør i autorisasjonstjenesten til Altinn.</w:t>
            </w:r>
          </w:p>
        </w:tc>
      </w:tr>
      <w:tr>
        <w:tc>
          <w:p>
            <w:pPr>
              <w:jc w:val="left"/>
            </w:pPr>
            <w:r>
              <w:t xml:space="preserve">Tilganger konsument &lt;data-object&gt;</w:t>
            </w:r>
          </w:p>
        </w:tc>
        <w:tc>
          <w:p>
            <w:pPr>
              <w:jc w:val="left"/>
            </w:pPr>
            <w:r>
              <w:t xml:space="preserve">Oversikt over tilganger gitt til konsumenter utenfor UHF sektoren tildelt gjennom Maskinporten. Oversikten spesifiserer hvilke API og OAUTH-scopes en virksomhet (representert ved organisasjonsnummer) skal ha tilgang til (utstedt token for).</w:t>
            </w:r>
          </w:p>
        </w:tc>
      </w:tr>
      <w:tr>
        <w:tc>
          <w:p>
            <w:pPr>
              <w:jc w:val="left"/>
            </w:pPr>
            <w:r>
              <w:t xml:space="preserve">UH/F Oauth2 autorisasjonstjener &lt;application-component&gt;</w:t>
            </w:r>
          </w:p>
        </w:tc>
        <w:tc>
          <w:p>
            <w:pPr>
              <w:jc w:val="left"/>
            </w:pPr>
            <w:r>
              <w:t xml:space="preserve">Autorisasjonstjenester realiserer tilgangskontroll gjennom å utstede OAuth 2 grants og tokens.</w:t>
            </w:r>
            <w:r>
              <w:t xml:space="preserve"> </w:t>
            </w:r>
            <w:r>
              <w:t xml:space="preserve">En autorisasjonstjener er også brukt til å realisere tilgangs policy.</w:t>
            </w:r>
          </w:p>
        </w:tc>
      </w:tr>
      <w:tr>
        <w:tc>
          <w:p>
            <w:pPr>
              <w:jc w:val="left"/>
            </w:pPr>
            <w:r>
              <w:t xml:space="preserve">UH/F API katalog &lt;application-component&gt;</w:t>
            </w:r>
          </w:p>
        </w:tc>
        <w:tc>
          <w:p>
            <w:pPr>
              <w:jc w:val="left"/>
            </w:pPr>
            <w:r>
              <w:t xml:space="preserve">Oversikt over alle API som er registrert i UH/F sektoren</w:t>
            </w:r>
          </w:p>
          <w:p>
            <w:pPr>
              <w:jc w:val="left"/>
            </w:pPr>
            <w:r>
              <w:t xml:space="preserve">UH/F API katalog kan inneholde</w:t>
            </w:r>
          </w:p>
          <w:p>
            <w:pPr>
              <w:jc w:val="left"/>
            </w:pPr>
            <w:r>
              <w:t xml:space="preserve">* Navn på API</w:t>
            </w:r>
            <w:r>
              <w:t xml:space="preserve"> </w:t>
            </w:r>
            <w:r>
              <w:t xml:space="preserve">* Tekstlig beskrivelse av API</w:t>
            </w:r>
            <w:r>
              <w:t xml:space="preserve"> </w:t>
            </w:r>
            <w:r>
              <w:t xml:space="preserve">* Informasjonsmodell / Datamodell for API som tilbys</w:t>
            </w:r>
            <w:r>
              <w:t xml:space="preserve"> </w:t>
            </w:r>
            <w:r>
              <w:t xml:space="preserve">* Kildeinformasjon for data, begrepsinformasjon</w:t>
            </w:r>
            <w:r>
              <w:t xml:space="preserve"> </w:t>
            </w:r>
            <w:r>
              <w:t xml:space="preserve">* Informasjon om tilgang, juridiske og tekniske begrensinger for bruk</w:t>
            </w:r>
            <w:r>
              <w:t xml:space="preserve"> </w:t>
            </w:r>
            <w:r>
              <w:t xml:space="preserve">* Eksempelkode, interaktiv API-konsoll og sandkasse for test</w:t>
            </w:r>
            <w:r>
              <w:t xml:space="preserve"> </w:t>
            </w:r>
            <w:r>
              <w:t xml:space="preserve">* Informasjon om hvordan få support og hjelp fra utsteder</w:t>
            </w:r>
          </w:p>
        </w:tc>
      </w:tr>
      <w:tr>
        <w:tc>
          <w:p>
            <w:pPr>
              <w:jc w:val="left"/>
            </w:pPr>
            <w:r>
              <w:t xml:space="preserve">Endepunkt (adresse) &lt;data-object&gt;</w:t>
            </w:r>
          </w:p>
        </w:tc>
        <w:tc>
          <w:p>
            <w:pPr>
              <w:jc w:val="left"/>
            </w:pPr>
            <w:r>
              <w:t xml:space="preserve">Dataobjekt som representerer teknisk adresse til et API eller ressurs.</w:t>
            </w:r>
          </w:p>
        </w:tc>
      </w:tr>
      <w:tr>
        <w:tc>
          <w:p>
            <w:pPr>
              <w:jc w:val="left"/>
            </w:pPr>
            <w:r>
              <w:t xml:space="preserve">Nasjonal Infrastruktur &lt;grouping&gt;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Maskinporten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Maskinporten er en løsning for tilgangsstyring for virksomheter som utveksler data. Løsningen garanterer identiteten mellom virksomheter, og sørger for maskin-til-maskin autentisering.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Maskinporten sørger for sikker autentisering og tilgangskontroll for datautveksling mellom</w:t>
            </w:r>
            <w:r>
              <w:t xml:space="preserve"> </w:t>
            </w:r>
            <w:r>
              <w:t xml:space="preserve">virksomheter, maskin til maskin. Dette gir teknisk og organisatorisk samhandlingsevne.</w:t>
            </w:r>
          </w:p>
          <w:p>
            <w:pPr>
              <w:jc w:val="left"/>
            </w:pPr>
            <w:r>
              <w:t xml:space="preserve">Mer om Maskinporten: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https://www.digdir.no/digitale-felleslosninger/maskinporten/869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Data-konsument &lt;business-role&gt;</w:t>
            </w:r>
          </w:p>
        </w:tc>
        <w:tc>
          <w:p>
            <w:pPr>
              <w:jc w:val="left"/>
            </w:pPr>
            <w:r>
              <w:t xml:space="preserve">Den som innhenter eller mottar data fra andre aktører.</w:t>
            </w:r>
          </w:p>
        </w:tc>
      </w:tr>
      <w:tr>
        <w:tc>
          <w:p>
            <w:pPr>
              <w:jc w:val="left"/>
            </w:pPr>
            <w:r>
              <w:t xml:space="preserve">Innhente data &lt;capability&gt;</w:t>
            </w:r>
          </w:p>
        </w:tc>
        <w:tc>
          <w:p>
            <w:pPr>
              <w:jc w:val="left"/>
            </w:pPr>
            <w:r>
              <w:t xml:space="preserve">Evnen til å innhente data fra en annen aktør.</w:t>
            </w:r>
          </w:p>
        </w:tc>
      </w:tr>
      <w:tr>
        <w:tc>
          <w:p>
            <w:pPr>
              <w:jc w:val="left"/>
            </w:pPr>
            <w:r>
              <w:t xml:space="preserve">Slå opp data gjennom et API &lt;business-process&gt;</w:t>
            </w:r>
          </w:p>
        </w:tc>
        <w:tc>
          <w:p>
            <w:pPr>
              <w:jc w:val="left"/>
            </w:pPr>
            <w:r>
              <w:t xml:space="preserve">Prosessen med å slå opp og hente data gjennom et API.</w:t>
            </w:r>
          </w:p>
        </w:tc>
      </w:tr>
      <w:tr>
        <w:tc>
          <w:p>
            <w:pPr>
              <w:jc w:val="left"/>
            </w:pPr>
            <w:r>
              <w:t xml:space="preserve">Hent teknisk endepunkt ved behov &lt;business-process&gt;</w:t>
            </w:r>
          </w:p>
        </w:tc>
        <w:tc>
          <w:p>
            <w:pPr>
              <w:jc w:val="left"/>
            </w:pPr>
            <w:r>
              <w:t xml:space="preserve">Prosessen å slå opp den tekniske adressen til et API før spørring mot API-et. Gjøres kun dersom det er nødvendig.</w:t>
            </w:r>
          </w:p>
        </w:tc>
      </w:tr>
      <w:tr>
        <w:tc>
          <w:p>
            <w:pPr>
              <w:jc w:val="left"/>
            </w:pPr>
            <w:r>
              <w:t xml:space="preserve">Be om tilgangstoken &lt;business-process&gt;</w:t>
            </w:r>
          </w:p>
        </w:tc>
        <w:tc>
          <w:p>
            <w:pPr>
              <w:jc w:val="left"/>
            </w:pPr>
            <w:r>
              <w:t xml:space="preserve">Prosessen med å benytte en sikkerhetsbillettjeneste for hente en sikkerhetsbillett som gir tilgang til et API. Dette forutsetter at alt er registert og satt opp riktig mot de aktuelle tjenestene.</w:t>
            </w:r>
          </w:p>
        </w:tc>
      </w:tr>
      <w:tr>
        <w:tc>
          <w:p>
            <w:pPr>
              <w:jc w:val="left"/>
            </w:pPr>
            <w:r>
              <w:t xml:space="preserve">Utfør tjenestekall &lt;business-process&gt;</w:t>
            </w:r>
          </w:p>
        </w:tc>
        <w:tc>
          <w:p>
            <w:pPr>
              <w:jc w:val="left"/>
            </w:pPr>
            <w:r>
              <w:t xml:space="preserve">Prosessen med å benytte (gjøre et oppslag mot) et eksternt API.</w:t>
            </w:r>
          </w:p>
        </w:tc>
      </w:tr>
      <w:tr>
        <w:tc>
          <w:p>
            <w:pPr>
              <w:jc w:val="left"/>
            </w:pPr>
            <w:r>
              <w:t xml:space="preserve">Innhent samtykke ved behov &lt;business-process&gt;</w:t>
            </w:r>
          </w:p>
        </w:tc>
        <w:tc>
          <w:p>
            <w:pPr>
              <w:jc w:val="left"/>
            </w:pPr>
            <w:r>
              <w:t xml:space="preserve">Prosess for å innhente samtykke fra person eller virksomhet som grunnlag for å innhente data. Dette gjøres kun ved behov.</w:t>
            </w:r>
          </w:p>
        </w:tc>
      </w:tr>
      <w:tr>
        <w:tc>
          <w:p>
            <w:pPr>
              <w:jc w:val="left"/>
            </w:pPr>
            <w:r>
              <w:t xml:space="preserve">Junction &lt;junction&gt;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Junction &lt;junction&gt;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Altinn autorisasjon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Autorisasjonskomponenten i Altinn som gir muligheter til å delegere rettigheter til andre organisasjoner eller personer. Rettigheter til bruk av autorisasjonskomponenten baserer seg på registrerte roller i Enhetsregisteret.</w:t>
            </w:r>
            <w:r>
              <w:t xml:space="preserve"> </w:t>
            </w:r>
            <w:r>
              <w:t xml:space="preserve">Altinn autorisasjon leverer også tjenester for å registrere og kontrollere samtykke gitt av person eller virksomhet.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Altinn autorisasjon gir teknisk samhandlingsevne ved at bruker logger inn med elektronisk ID,</w:t>
            </w:r>
            <w:r>
              <w:t xml:space="preserve"> </w:t>
            </w:r>
            <w:r>
              <w:t xml:space="preserve">autorisasjonskomponenten sjekker at bruker har de tilgangene som kreves for å ta i bruk aktuell tjeneste.</w:t>
            </w:r>
          </w:p>
          <w:p>
            <w:pPr>
              <w:jc w:val="left"/>
            </w:pPr>
            <w:r>
              <w:t xml:space="preserve">Dersom en privatperson skal ta i bruk en tjeneste på vegne av en virksomhet, gjøres det et oppslag mot Enhetsregisteret for å bekrefte at personen har en rolle på vegne av virksomheten. Dette gir organisatorisk samhandlingsevne.</w:t>
            </w:r>
          </w:p>
          <w:p>
            <w:pPr>
              <w:jc w:val="left"/>
            </w:pPr>
            <w:r>
              <w:t xml:space="preserve">Mer om Altinn autorisasjon: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https://www.altinndigital.no/produkter/styring-av-tilgang/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Felles API-katalog &lt;application-component&gt;</w:t>
            </w:r>
          </w:p>
        </w:tc>
        <w:tc>
          <w:p>
            <w:pPr>
              <w:jc w:val="left"/>
            </w:pPr>
            <w:r>
              <w:t xml:space="preserve">Del av Felles datakatalog som gir mulighet for å søke etter API-er og lese API-spesifikasjoner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https://fellesdatakatalog.brreg.no/apis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Altinn autorisasjon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Autorisasjonskomponenten i Altinn som gir muligheter til å delegere rettigheter til andre organisasjoner eller personer. Rettigheter til bruk av autorisasjonskomponenten baserer seg på registrerte roller i Enhetsregisteret.</w:t>
            </w:r>
            <w:r>
              <w:t xml:space="preserve"> </w:t>
            </w:r>
            <w:r>
              <w:t xml:space="preserve">Altinn autorisasjon leverer også tjenester for å registrere og kontrollere samtykke gitt av person eller virksomhet.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Altinn autorisasjon gir teknisk samhandlingsevne ved at bruker logger inn med elektronisk ID,</w:t>
            </w:r>
            <w:r>
              <w:t xml:space="preserve"> </w:t>
            </w:r>
            <w:r>
              <w:t xml:space="preserve">autorisasjonskomponenten sjekker at bruker har de tilgangene som kreves for å ta i bruk aktuell tjeneste.</w:t>
            </w:r>
          </w:p>
          <w:p>
            <w:pPr>
              <w:jc w:val="left"/>
            </w:pPr>
            <w:r>
              <w:t xml:space="preserve">Dersom en privatperson skal ta i bruk en tjeneste på vegne av en virksomhet, gjøres det et oppslag mot Enhetsregisteret for å bekrefte at personen har en rolle på vegne av virksomheten. Dette gir organisatorisk samhandlingsevne.</w:t>
            </w:r>
          </w:p>
          <w:p>
            <w:pPr>
              <w:jc w:val="left"/>
            </w:pPr>
            <w:r>
              <w:t xml:space="preserve">Mer om Altinn autorisasjon: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https://www.altinndigital.no/produkter/styring-av-tilgang/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fellesdatakatalog.brreg.no/apis" TargetMode="External" /><Relationship Type="http://schemas.openxmlformats.org/officeDocument/2006/relationships/hyperlink" Id="rId22" Target="https://www.altinndigital.no/produkter/styring-av-tilgang/" TargetMode="External" /><Relationship Type="http://schemas.openxmlformats.org/officeDocument/2006/relationships/hyperlink" Id="rId21" Target="https://www.digdir.no/digitale-felleslosninger/maskinporten/8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fellesdatakatalog.brreg.no/apis" TargetMode="External" /><Relationship Type="http://schemas.openxmlformats.org/officeDocument/2006/relationships/hyperlink" Id="rId22" Target="https://www.altinndigital.no/produkter/styring-av-tilgang/" TargetMode="External" /><Relationship Type="http://schemas.openxmlformats.org/officeDocument/2006/relationships/hyperlink" Id="rId21" Target="https://www.digdir.no/digitale-felleslosninger/maskinporten/8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Innhente data - løsningsmønster UHF</dc:title>
  <dc:creator/>
  <cp:keywords/>
  <dcterms:created xsi:type="dcterms:W3CDTF">2021-02-17T17:55:57Z</dcterms:created>
  <dcterms:modified xsi:type="dcterms:W3CDTF">2021-02-17T17:55:57Z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</Properties>
</file>