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C034" w14:textId="1FF1662C" w:rsidR="00B46596" w:rsidRPr="00E240A2" w:rsidRDefault="00FD60EB">
      <w:pPr>
        <w:rPr>
          <w:b/>
          <w:bCs/>
          <w:sz w:val="32"/>
          <w:szCs w:val="32"/>
        </w:rPr>
      </w:pPr>
      <w:r w:rsidRPr="00E240A2">
        <w:rPr>
          <w:b/>
          <w:bCs/>
          <w:sz w:val="32"/>
          <w:szCs w:val="32"/>
        </w:rPr>
        <w:t xml:space="preserve">Exercise </w:t>
      </w:r>
      <w:r w:rsidR="00104484">
        <w:rPr>
          <w:b/>
          <w:bCs/>
          <w:sz w:val="32"/>
          <w:szCs w:val="32"/>
        </w:rPr>
        <w:t>9.</w:t>
      </w:r>
      <w:r w:rsidR="006B2800">
        <w:rPr>
          <w:b/>
          <w:bCs/>
          <w:sz w:val="32"/>
          <w:szCs w:val="32"/>
        </w:rPr>
        <w:t>68</w:t>
      </w:r>
    </w:p>
    <w:p w14:paraId="7ECB9F94" w14:textId="46630C85" w:rsidR="00A571E5" w:rsidRPr="001C472A" w:rsidRDefault="001C472A" w:rsidP="00FD60EB">
      <w:r>
        <w:t xml:space="preserve">In the study </w:t>
      </w:r>
      <w:r>
        <w:rPr>
          <w:i/>
          <w:iCs/>
        </w:rPr>
        <w:t>Germination and Emergence of Broccoli</w:t>
      </w:r>
      <w:r>
        <w:t xml:space="preserve">, conducted by the Department of Horticulture at Virginia Tech, a researcher found that at 5°C, 10 broccoli seeds out of 20 germinated, while at 15°C, 15 out of 20 germinated. Compute a 95% confidence interval for the difference between the proportions of germination at the two different temperatures and decide if there is a significant difference. </w:t>
      </w:r>
    </w:p>
    <w:p w14:paraId="782C1172" w14:textId="77777777" w:rsidR="006B2800" w:rsidRDefault="006B2800" w:rsidP="00FD60EB"/>
    <w:p w14:paraId="3F1A6255" w14:textId="611014A1" w:rsidR="00703608" w:rsidRPr="0091541C" w:rsidRDefault="00FD60EB" w:rsidP="00FD60EB">
      <w:pPr>
        <w:rPr>
          <w:b/>
          <w:bCs/>
          <w:sz w:val="32"/>
          <w:szCs w:val="32"/>
        </w:rPr>
      </w:pPr>
      <w:r w:rsidRPr="00E240A2">
        <w:rPr>
          <w:b/>
          <w:bCs/>
          <w:sz w:val="32"/>
          <w:szCs w:val="32"/>
        </w:rPr>
        <w:t>Solution</w:t>
      </w:r>
    </w:p>
    <w:p w14:paraId="7035A548" w14:textId="6E614D2E" w:rsidR="00CE3CAF" w:rsidRDefault="005A3BE2" w:rsidP="00FD60EB">
      <w:r>
        <w:t>The confidence interval of the difference between these two studies can be computed using the following formula:</w:t>
      </w:r>
    </w:p>
    <w:p w14:paraId="550AD396" w14:textId="78490F81" w:rsidR="005A3BE2" w:rsidRPr="004C06F7" w:rsidRDefault="00000000" w:rsidP="00FD60EB">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&lt;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1B94DE29" w14:textId="77777777" w:rsidR="00C46262" w:rsidRDefault="00C46262" w:rsidP="00FD60EB">
      <w:pPr>
        <w:rPr>
          <w:rFonts w:eastAsiaTheme="minorEastAsia"/>
        </w:rPr>
      </w:pPr>
    </w:p>
    <w:p w14:paraId="0471BC0D" w14:textId="6ABACE9A" w:rsidR="004C06F7" w:rsidRDefault="004C06F7" w:rsidP="00FD60EB">
      <w:pPr>
        <w:rPr>
          <w:rFonts w:eastAsiaTheme="minorEastAsia"/>
        </w:rPr>
      </w:pPr>
      <w:r>
        <w:rPr>
          <w:rFonts w:eastAsiaTheme="minorEastAsia"/>
        </w:rPr>
        <w:t>For these experiments:</w:t>
      </w:r>
    </w:p>
    <w:p w14:paraId="2767EE54" w14:textId="77777777" w:rsidR="004C06F7" w:rsidRDefault="00000000" w:rsidP="00FD60EB">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m:oMathPara>
    </w:p>
    <w:p w14:paraId="39738ABC" w14:textId="592EC5AF" w:rsidR="004C06F7" w:rsidRDefault="00000000" w:rsidP="00FD60EB">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=0.5</m:t>
          </m:r>
        </m:oMath>
      </m:oMathPara>
    </w:p>
    <w:p w14:paraId="3CD21D24" w14:textId="63B4CCB6" w:rsidR="004C06F7" w:rsidRPr="004C06F7" w:rsidRDefault="00000000" w:rsidP="00FD60EB">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=0.5</m:t>
          </m:r>
        </m:oMath>
      </m:oMathPara>
    </w:p>
    <w:p w14:paraId="48744963" w14:textId="2A1E4BC5" w:rsidR="004C06F7" w:rsidRDefault="00000000" w:rsidP="00FD60EB">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=0.75</m:t>
              </m:r>
            </m:e>
          </m:acc>
        </m:oMath>
      </m:oMathPara>
    </w:p>
    <w:p w14:paraId="29312B5C" w14:textId="6D9A5A97" w:rsidR="004C06F7" w:rsidRPr="004C06F7" w:rsidRDefault="00000000" w:rsidP="00FD60EB">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=0.75</m:t>
          </m:r>
        </m:oMath>
      </m:oMathPara>
    </w:p>
    <w:p w14:paraId="68B1A1D1" w14:textId="33125335" w:rsidR="004C06F7" w:rsidRPr="004C06F7" w:rsidRDefault="00000000" w:rsidP="00FD60EB">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=1.96</m:t>
          </m:r>
        </m:oMath>
      </m:oMathPara>
    </w:p>
    <w:p w14:paraId="18B173F9" w14:textId="77777777" w:rsidR="00C46262" w:rsidRDefault="00C46262" w:rsidP="00FD60EB">
      <w:pPr>
        <w:rPr>
          <w:rFonts w:eastAsiaTheme="minorEastAsia"/>
        </w:rPr>
      </w:pPr>
    </w:p>
    <w:p w14:paraId="1D86FEE8" w14:textId="3579B214" w:rsidR="004C06F7" w:rsidRDefault="004C06F7" w:rsidP="00FD60EB">
      <w:pPr>
        <w:rPr>
          <w:rFonts w:eastAsiaTheme="minorEastAsia"/>
        </w:rPr>
      </w:pPr>
      <w:r>
        <w:rPr>
          <w:rFonts w:eastAsiaTheme="minorEastAsia"/>
        </w:rPr>
        <w:t>Plugging into the equation we get</w:t>
      </w:r>
      <w:r w:rsidR="00350B52">
        <w:rPr>
          <w:rFonts w:eastAsiaTheme="minorEastAsia"/>
        </w:rPr>
        <w:t>:</w:t>
      </w:r>
    </w:p>
    <w:p w14:paraId="3A196F7E" w14:textId="51D1E173" w:rsidR="00350B52" w:rsidRPr="00350B52" w:rsidRDefault="00000000" w:rsidP="00FD60EB">
      <w:pPr>
        <w:rPr>
          <w:rFonts w:eastAsiaTheme="minorEastAsia"/>
        </w:rPr>
      </w:pPr>
      <m:oMathPara>
        <m:oMath>
          <m:d>
            <m:dPr>
              <m:ctrlPr>
                <w:rPr>
                  <w:rFonts w:ascii="Cambria Math" w:hAnsi="Cambria Math"/>
                  <w:i/>
                </w:rPr>
              </m:ctrlPr>
            </m:dPr>
            <m:e>
              <m:r>
                <w:rPr>
                  <w:rFonts w:ascii="Cambria Math" w:hAnsi="Cambria Math"/>
                </w:rPr>
                <m:t>0.5-0.75</m:t>
              </m:r>
            </m:e>
          </m:d>
          <m:r>
            <w:rPr>
              <w:rFonts w:ascii="Cambria Math" w:hAnsi="Cambria Math"/>
            </w:rPr>
            <m:t>±1.96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0.5*0.5</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0.75*0.25</m:t>
                  </m:r>
                </m:num>
                <m:den>
                  <m:r>
                    <w:rPr>
                      <w:rFonts w:ascii="Cambria Math" w:hAnsi="Cambria Math"/>
                    </w:rPr>
                    <m:t>20</m:t>
                  </m:r>
                </m:den>
              </m:f>
              <m:r>
                <w:rPr>
                  <w:rFonts w:ascii="Cambria Math" w:hAnsi="Cambria Math"/>
                </w:rPr>
                <m:t>=</m:t>
              </m:r>
            </m:e>
          </m:rad>
          <m:r>
            <w:rPr>
              <w:rFonts w:ascii="Cambria Math" w:hAnsi="Cambria Math"/>
            </w:rPr>
            <m:t>-0.25±1.96</m:t>
          </m:r>
          <m:rad>
            <m:radPr>
              <m:degHide m:val="1"/>
              <m:ctrlPr>
                <w:rPr>
                  <w:rFonts w:ascii="Cambria Math" w:hAnsi="Cambria Math"/>
                  <w:i/>
                </w:rPr>
              </m:ctrlPr>
            </m:radPr>
            <m:deg/>
            <m:e>
              <m:r>
                <w:rPr>
                  <w:rFonts w:ascii="Cambria Math" w:hAnsi="Cambria Math"/>
                </w:rPr>
                <m:t>0.021875</m:t>
              </m:r>
            </m:e>
          </m:rad>
          <m:r>
            <w:rPr>
              <w:rFonts w:ascii="Cambria Math" w:hAnsi="Cambria Math"/>
            </w:rPr>
            <m:t>=-0.25±0.28989</m:t>
          </m:r>
        </m:oMath>
      </m:oMathPara>
    </w:p>
    <w:p w14:paraId="72F64433" w14:textId="77777777" w:rsidR="00C46262" w:rsidRDefault="00C46262" w:rsidP="00FD60EB">
      <w:pPr>
        <w:rPr>
          <w:rFonts w:eastAsiaTheme="minorEastAsia"/>
        </w:rPr>
      </w:pPr>
    </w:p>
    <w:p w14:paraId="7C6185B4" w14:textId="391B9A2B" w:rsidR="00350B52" w:rsidRPr="00350B52" w:rsidRDefault="00350B52" w:rsidP="00FD60EB">
      <w:pPr>
        <w:rPr>
          <w:rFonts w:eastAsiaTheme="minorEastAsia"/>
        </w:rPr>
      </w:pPr>
      <w:r>
        <w:rPr>
          <w:rFonts w:eastAsiaTheme="minorEastAsia"/>
        </w:rPr>
        <w:t xml:space="preserve">Therefore, the 95% confidence interval for the difference between </w:t>
      </w:r>
      <w:r w:rsidR="00F008EF">
        <w:rPr>
          <w:rFonts w:eastAsiaTheme="minorEastAsia"/>
        </w:rPr>
        <w:t xml:space="preserve">these two experiments is </w:t>
      </w:r>
      <m:oMath>
        <m:r>
          <w:rPr>
            <w:rFonts w:ascii="Cambria Math" w:eastAsiaTheme="minorEastAsia" w:hAnsi="Cambria Math"/>
          </w:rPr>
          <m:t>-0.53989&lt;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15°C</m:t>
            </m:r>
          </m:sub>
        </m:sSub>
        <m:r>
          <w:rPr>
            <w:rFonts w:ascii="Cambria Math" w:eastAsiaTheme="minorEastAsia" w:hAnsi="Cambria Math"/>
          </w:rPr>
          <m:t>&lt;0.03989</m:t>
        </m:r>
      </m:oMath>
      <w:r w:rsidR="00F008EF">
        <w:rPr>
          <w:rFonts w:eastAsiaTheme="minorEastAsia"/>
        </w:rPr>
        <w:t>. This interval include</w:t>
      </w:r>
      <w:r w:rsidR="007876B5">
        <w:rPr>
          <w:rFonts w:eastAsiaTheme="minorEastAsia"/>
        </w:rPr>
        <w:t>s</w:t>
      </w:r>
      <w:r w:rsidR="00F008EF">
        <w:rPr>
          <w:rFonts w:eastAsiaTheme="minorEastAsia"/>
        </w:rPr>
        <w:t xml:space="preserve"> 0, therefore we cannot show that there is a significant difference at the 95% confidence level.</w:t>
      </w:r>
    </w:p>
    <w:p w14:paraId="68005083" w14:textId="77777777" w:rsidR="006B2800" w:rsidRDefault="006B2800" w:rsidP="00FD60EB">
      <w:pPr>
        <w:rPr>
          <w:rFonts w:eastAsiaTheme="minorEastAsia"/>
        </w:rPr>
      </w:pPr>
    </w:p>
    <w:p w14:paraId="11A19517" w14:textId="55E703CF" w:rsidR="00B47101" w:rsidRDefault="00B47101" w:rsidP="00B47101">
      <w:pPr>
        <w:rPr>
          <w:b/>
          <w:bCs/>
          <w:sz w:val="32"/>
          <w:szCs w:val="32"/>
        </w:rPr>
      </w:pPr>
      <w:r w:rsidRPr="00E240A2">
        <w:rPr>
          <w:b/>
          <w:bCs/>
          <w:sz w:val="32"/>
          <w:szCs w:val="32"/>
        </w:rPr>
        <w:t xml:space="preserve">Exercise </w:t>
      </w:r>
      <w:r w:rsidR="00CE3CAF">
        <w:rPr>
          <w:b/>
          <w:bCs/>
          <w:sz w:val="32"/>
          <w:szCs w:val="32"/>
        </w:rPr>
        <w:t>1</w:t>
      </w:r>
      <w:r w:rsidR="006B2800">
        <w:rPr>
          <w:b/>
          <w:bCs/>
          <w:sz w:val="32"/>
          <w:szCs w:val="32"/>
        </w:rPr>
        <w:t>0.41</w:t>
      </w:r>
    </w:p>
    <w:p w14:paraId="053FE673" w14:textId="360DEE42" w:rsidR="007876B5" w:rsidRDefault="007876B5" w:rsidP="007876B5">
      <w:r>
        <w:t>A study was conducted by the Department of Biological Sciences at Virginia Tech to determine if there is a signiﬁcant di</w:t>
      </w:r>
      <w:r>
        <w:rPr>
          <w:rFonts w:ascii="Arial" w:hAnsi="Arial" w:cs="Arial"/>
        </w:rPr>
        <w:t>ﬀ</w:t>
      </w:r>
      <w:r>
        <w:t>erence in the density of organisms at two di</w:t>
      </w:r>
      <w:r>
        <w:rPr>
          <w:rFonts w:ascii="Arial" w:hAnsi="Arial" w:cs="Arial"/>
        </w:rPr>
        <w:t>ﬀ</w:t>
      </w:r>
      <w:r>
        <w:t>erent stations located on Cedar Run, a secondary stream in the Roanoke River drainage basin. Sewage from a sewage treatment plant and overﬂow from the Federal Mogul Corporation settling pond enter the stream near its headwaters. The following data give the density measurements, in number of organisms</w:t>
      </w:r>
    </w:p>
    <w:p w14:paraId="28ABF8CD" w14:textId="4F7A3CCE" w:rsidR="00177650" w:rsidRDefault="007876B5" w:rsidP="007876B5">
      <w:r>
        <w:t>per square meter, at the two collecting stations:</w:t>
      </w:r>
    </w:p>
    <w:p w14:paraId="5526C4A6" w14:textId="77777777" w:rsidR="0012647B" w:rsidRDefault="0012647B" w:rsidP="0012647B"/>
    <w:p w14:paraId="490DC186" w14:textId="77777777" w:rsidR="0012647B" w:rsidRDefault="0012647B" w:rsidP="0012647B"/>
    <w:p w14:paraId="5DE265E6" w14:textId="77777777" w:rsidR="0012647B" w:rsidRDefault="0012647B" w:rsidP="0012647B"/>
    <w:p w14:paraId="387F2489" w14:textId="77777777" w:rsidR="0012647B" w:rsidRDefault="0012647B" w:rsidP="0012647B"/>
    <w:p w14:paraId="7F0EFEFB" w14:textId="77777777" w:rsidR="0012647B" w:rsidRDefault="0012647B" w:rsidP="0012647B"/>
    <w:p w14:paraId="541E4103" w14:textId="77777777" w:rsidR="0012647B" w:rsidRDefault="0012647B" w:rsidP="0012647B"/>
    <w:p w14:paraId="4955DDC5" w14:textId="77777777" w:rsidR="0012647B" w:rsidRDefault="0012647B" w:rsidP="0012647B"/>
    <w:p w14:paraId="0A59730B" w14:textId="3D2C0051" w:rsidR="0012647B" w:rsidRPr="006B2800" w:rsidRDefault="0012647B" w:rsidP="0012647B">
      <w:r w:rsidRPr="0012647B">
        <w:rPr>
          <w:noProof/>
        </w:rPr>
        <w:lastRenderedPageBreak/>
        <w:drawing>
          <wp:anchor distT="0" distB="0" distL="114300" distR="114300" simplePos="0" relativeHeight="251658240" behindDoc="0" locked="0" layoutInCell="1" allowOverlap="1" wp14:anchorId="09EA27D4" wp14:editId="61CA2A16">
            <wp:simplePos x="0" y="0"/>
            <wp:positionH relativeFrom="margin">
              <wp:align>center</wp:align>
            </wp:positionH>
            <wp:positionV relativeFrom="paragraph">
              <wp:posOffset>0</wp:posOffset>
            </wp:positionV>
            <wp:extent cx="2447925" cy="1943100"/>
            <wp:effectExtent l="0" t="0" r="9525" b="0"/>
            <wp:wrapTopAndBottom/>
            <wp:docPr id="48349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943100"/>
                    </a:xfrm>
                    <a:prstGeom prst="rect">
                      <a:avLst/>
                    </a:prstGeom>
                    <a:noFill/>
                    <a:ln>
                      <a:noFill/>
                    </a:ln>
                  </pic:spPr>
                </pic:pic>
              </a:graphicData>
            </a:graphic>
          </wp:anchor>
        </w:drawing>
      </w:r>
      <w:r>
        <w:t>Can we conclude, at the 0.05 level of signiﬁcance, that the average densities at the two stations are equal? Assume that the observations come from normal populations with di</w:t>
      </w:r>
      <w:r>
        <w:rPr>
          <w:rFonts w:ascii="Arial" w:hAnsi="Arial" w:cs="Arial"/>
        </w:rPr>
        <w:t>ﬀ</w:t>
      </w:r>
      <w:r>
        <w:t>erent variances.</w:t>
      </w:r>
    </w:p>
    <w:p w14:paraId="5C60ABA2" w14:textId="77777777" w:rsidR="00177650" w:rsidRPr="007876B5" w:rsidRDefault="00177650" w:rsidP="00900399">
      <w:pPr>
        <w:rPr>
          <w:b/>
          <w:bCs/>
        </w:rPr>
      </w:pPr>
    </w:p>
    <w:p w14:paraId="6C52953C" w14:textId="46C4F701" w:rsidR="00D118A6" w:rsidRPr="00D118A6" w:rsidRDefault="00B47101" w:rsidP="00B55C7A">
      <w:pPr>
        <w:rPr>
          <w:b/>
          <w:bCs/>
          <w:sz w:val="32"/>
          <w:szCs w:val="32"/>
        </w:rPr>
      </w:pPr>
      <w:r w:rsidRPr="00E240A2">
        <w:rPr>
          <w:b/>
          <w:bCs/>
          <w:sz w:val="32"/>
          <w:szCs w:val="32"/>
        </w:rPr>
        <w:t>Solution</w:t>
      </w:r>
    </w:p>
    <w:p w14:paraId="37B2B087" w14:textId="5B77A70E" w:rsidR="00CE3CAF" w:rsidRDefault="00E3766F" w:rsidP="00FD60EB">
      <w:r>
        <w:t>The first step is to state the hypothesis. The null hypothesis for this problem is that the population means between the two stations are equal, with the alternative being that they are different. Formally, this can be stated as:</w:t>
      </w:r>
    </w:p>
    <w:p w14:paraId="67CA3EA3" w14:textId="22DFA563" w:rsidR="00E3766F" w:rsidRPr="00E3766F" w:rsidRDefault="00000000" w:rsidP="00FD60E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02E1EC0E" w14:textId="34757602" w:rsidR="008E493C" w:rsidRDefault="00000000" w:rsidP="00FD60E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525626AE" w14:textId="77777777" w:rsidR="00C46262" w:rsidRDefault="00C46262" w:rsidP="00FD60EB">
      <w:pPr>
        <w:rPr>
          <w:rFonts w:eastAsiaTheme="minorEastAsia"/>
        </w:rPr>
      </w:pPr>
    </w:p>
    <w:p w14:paraId="0AD4F411" w14:textId="6CA35DE6" w:rsidR="00971C13" w:rsidRDefault="00971C13" w:rsidP="00FD60EB">
      <w:pPr>
        <w:rPr>
          <w:rFonts w:eastAsiaTheme="minorEastAsia"/>
        </w:rPr>
      </w:pPr>
      <w:r>
        <w:rPr>
          <w:rFonts w:eastAsiaTheme="minorEastAsia"/>
        </w:rPr>
        <w:t>To compute the test statistic, we use the following formula:</w:t>
      </w:r>
    </w:p>
    <w:p w14:paraId="67E47D1B" w14:textId="6332E8E1" w:rsidR="00971C13" w:rsidRPr="00971C13" w:rsidRDefault="00971C13" w:rsidP="00FD60EB">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num>
            <m:den>
              <m:rad>
                <m:radPr>
                  <m:degHide m:val="1"/>
                  <m:ctrlPr>
                    <w:rPr>
                      <w:rFonts w:ascii="Cambria Math" w:eastAsiaTheme="minorEastAsia"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5C658D1D" w14:textId="77777777" w:rsidR="00C46262" w:rsidRDefault="00C46262" w:rsidP="00FD60EB">
      <w:pPr>
        <w:rPr>
          <w:rFonts w:eastAsiaTheme="minorEastAsia"/>
        </w:rPr>
      </w:pPr>
    </w:p>
    <w:p w14:paraId="6712155A" w14:textId="4E16D13A" w:rsidR="00971C13" w:rsidRDefault="0077501B" w:rsidP="00FD60EB">
      <w:pPr>
        <w:rPr>
          <w:rFonts w:eastAsiaTheme="minorEastAsia"/>
        </w:rPr>
      </w:pPr>
      <w:r>
        <w:rPr>
          <w:rFonts w:eastAsiaTheme="minorEastAsia"/>
        </w:rPr>
        <w:t xml:space="preserve">For this problem,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=16</m:t>
        </m:r>
      </m:oMath>
      <w:r>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=12</m:t>
        </m:r>
      </m:oMath>
      <w:r>
        <w:rPr>
          <w:rFonts w:eastAsiaTheme="minorEastAsia"/>
        </w:rPr>
        <w:t xml:space="preserve">. Using Excel,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=7874.329</m:t>
        </m:r>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=2479.503</m:t>
        </m:r>
      </m:oMath>
      <w:r>
        <w:rPr>
          <w:rFonts w:eastAsiaTheme="minorEastAsia"/>
        </w:rPr>
        <w:t xml:space="preserve">. </w:t>
      </w:r>
      <w:r w:rsidR="00971C13">
        <w:rPr>
          <w:rFonts w:eastAsiaTheme="minorEastAsia"/>
        </w:rPr>
        <w:t xml:space="preserve">The means </w:t>
      </w:r>
      <w:r>
        <w:rPr>
          <w:rFonts w:eastAsiaTheme="minorEastAsia"/>
        </w:rPr>
        <w:t xml:space="preserve">for </w:t>
      </w:r>
      <w:r w:rsidR="00971C13">
        <w:rPr>
          <w:rFonts w:eastAsiaTheme="minorEastAsia"/>
        </w:rPr>
        <w:t>stations one and two, computed again in Excel, are 9897.5 and 4120.833 respectively. Plugging into the above formula, we get:</w:t>
      </w:r>
    </w:p>
    <w:p w14:paraId="5CF74F31" w14:textId="43397B90" w:rsidR="00971C13" w:rsidRPr="0077501B" w:rsidRDefault="00971C13" w:rsidP="00FD60EB">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 xml:space="preserve">9897.5-4120.833 </m:t>
              </m:r>
            </m:num>
            <m:den>
              <m:rad>
                <m:radPr>
                  <m:degHide m:val="1"/>
                  <m:ctrlPr>
                    <w:rPr>
                      <w:rFonts w:ascii="Cambria Math" w:eastAsiaTheme="minorEastAsia"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7874.329</m:t>
                          </m:r>
                        </m:e>
                        <m:sup>
                          <m:r>
                            <w:rPr>
                              <w:rFonts w:ascii="Cambria Math" w:hAnsi="Cambria Math"/>
                            </w:rPr>
                            <m:t>2</m:t>
                          </m:r>
                        </m:sup>
                      </m:sSup>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2479.503</m:t>
                          </m:r>
                        </m:e>
                        <m:sup>
                          <m:r>
                            <w:rPr>
                              <w:rFonts w:ascii="Cambria Math" w:hAnsi="Cambria Math"/>
                            </w:rPr>
                            <m:t>2</m:t>
                          </m:r>
                        </m:sup>
                      </m:sSup>
                    </m:num>
                    <m:den>
                      <m:r>
                        <w:rPr>
                          <w:rFonts w:ascii="Cambria Math" w:hAnsi="Cambria Math"/>
                        </w:rPr>
                        <m:t>12</m:t>
                      </m:r>
                    </m:den>
                  </m:f>
                </m:e>
              </m:rad>
            </m:den>
          </m:f>
          <m:r>
            <w:rPr>
              <w:rFonts w:ascii="Cambria Math" w:eastAsiaTheme="minorEastAsia" w:hAnsi="Cambria Math"/>
            </w:rPr>
            <m:t>=2.7578</m:t>
          </m:r>
        </m:oMath>
      </m:oMathPara>
    </w:p>
    <w:p w14:paraId="36B4C6E0" w14:textId="77777777" w:rsidR="00C46262" w:rsidRDefault="00C46262" w:rsidP="0077501B">
      <w:pPr>
        <w:rPr>
          <w:rFonts w:eastAsiaTheme="minorEastAsia"/>
        </w:rPr>
      </w:pPr>
    </w:p>
    <w:p w14:paraId="0360AC1F" w14:textId="3EE372B8" w:rsidR="0077501B" w:rsidRDefault="0077501B" w:rsidP="0077501B">
      <w:pPr>
        <w:rPr>
          <w:rFonts w:eastAsiaTheme="minorEastAsia"/>
        </w:rPr>
      </w:pPr>
      <w:r>
        <w:rPr>
          <w:rFonts w:eastAsiaTheme="minorEastAsia"/>
        </w:rPr>
        <w:t xml:space="preserve">The next step, because the variances of </w:t>
      </w:r>
      <w:r w:rsidR="00C46262">
        <w:rPr>
          <w:rFonts w:eastAsiaTheme="minorEastAsia"/>
        </w:rPr>
        <w:t>the</w:t>
      </w:r>
      <w:r>
        <w:rPr>
          <w:rFonts w:eastAsiaTheme="minorEastAsia"/>
        </w:rPr>
        <w:t xml:space="preserve"> populations are </w:t>
      </w:r>
      <w:r w:rsidR="00C46262">
        <w:rPr>
          <w:rFonts w:eastAsiaTheme="minorEastAsia"/>
        </w:rPr>
        <w:t xml:space="preserve">both </w:t>
      </w:r>
      <w:r>
        <w:rPr>
          <w:rFonts w:eastAsiaTheme="minorEastAsia"/>
        </w:rPr>
        <w:t>unknown and unequal, is to calculate the degrees of freedom, which can be done using the following formula:</w:t>
      </w:r>
    </w:p>
    <w:p w14:paraId="2EB7C920" w14:textId="77777777" w:rsidR="0077501B" w:rsidRPr="00A92509" w:rsidRDefault="0077501B" w:rsidP="0077501B">
      <w:pPr>
        <w:rPr>
          <w:rFonts w:eastAsiaTheme="minorEastAsia"/>
        </w:rPr>
      </w:pPr>
      <m:oMathPara>
        <m:oMath>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14:paraId="7FD80858" w14:textId="77777777" w:rsidR="00C46262" w:rsidRDefault="00C46262" w:rsidP="0077501B">
      <w:pPr>
        <w:rPr>
          <w:rFonts w:eastAsiaTheme="minorEastAsia"/>
        </w:rPr>
      </w:pPr>
    </w:p>
    <w:p w14:paraId="5BAB9C60" w14:textId="503E4488" w:rsidR="0077501B" w:rsidRDefault="0077501B" w:rsidP="0077501B">
      <w:pPr>
        <w:rPr>
          <w:rFonts w:eastAsiaTheme="minorEastAsia"/>
        </w:rPr>
      </w:pPr>
      <w:r>
        <w:rPr>
          <w:rFonts w:eastAsiaTheme="minorEastAsia"/>
        </w:rPr>
        <w:t xml:space="preserve">For this problem,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=16</m:t>
        </m:r>
      </m:oMath>
      <w:r>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=12</m:t>
        </m:r>
      </m:oMath>
      <w:r>
        <w:rPr>
          <w:rFonts w:eastAsiaTheme="minorEastAsia"/>
        </w:rPr>
        <w:t xml:space="preserve">. Using Excel,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=7874.329</m:t>
        </m:r>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=2479.503</m:t>
        </m:r>
      </m:oMath>
      <w:r>
        <w:rPr>
          <w:rFonts w:eastAsiaTheme="minorEastAsia"/>
        </w:rPr>
        <w:t>. Plugging these values into the above equation we get:</w:t>
      </w:r>
    </w:p>
    <w:p w14:paraId="518C66E3" w14:textId="75D59261" w:rsidR="0077501B" w:rsidRDefault="0077501B" w:rsidP="00FD60EB">
      <w:pPr>
        <w:rPr>
          <w:rFonts w:eastAsiaTheme="minorEastAsia"/>
        </w:rPr>
      </w:pPr>
      <m:oMathPara>
        <m:oMath>
          <m:r>
            <w:rPr>
              <w:rFonts w:ascii="Cambria Math" w:hAnsi="Cambria Math"/>
            </w:rPr>
            <w:lastRenderedPageBreak/>
            <m:t>v=</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7874.329</m:t>
                          </m:r>
                        </m:e>
                        <m:sup>
                          <m:r>
                            <w:rPr>
                              <w:rFonts w:ascii="Cambria Math" w:hAnsi="Cambria Math"/>
                            </w:rPr>
                            <m:t>2</m:t>
                          </m:r>
                        </m:sup>
                      </m:sSup>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2479.503</m:t>
                          </m:r>
                        </m:e>
                        <m:sup>
                          <m:r>
                            <w:rPr>
                              <w:rFonts w:ascii="Cambria Math" w:hAnsi="Cambria Math"/>
                            </w:rPr>
                            <m:t>2</m:t>
                          </m:r>
                        </m:sup>
                      </m:sSup>
                    </m:num>
                    <m:den>
                      <m:r>
                        <w:rPr>
                          <w:rFonts w:ascii="Cambria Math" w:hAnsi="Cambria Math"/>
                        </w:rPr>
                        <m:t>12</m:t>
                      </m:r>
                    </m:den>
                  </m:f>
                  <m:r>
                    <w:rPr>
                      <w:rFonts w:ascii="Cambria Math" w:hAnsi="Cambria Math"/>
                    </w:rPr>
                    <m:t>)</m:t>
                  </m:r>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7874.329</m:t>
                              </m:r>
                            </m:e>
                            <m:sup>
                              <m:r>
                                <w:rPr>
                                  <w:rFonts w:ascii="Cambria Math" w:hAnsi="Cambria Math"/>
                                </w:rPr>
                                <m:t>2</m:t>
                              </m:r>
                            </m:sup>
                          </m:sSup>
                        </m:num>
                        <m:den>
                          <m:r>
                            <w:rPr>
                              <w:rFonts w:ascii="Cambria Math" w:hAnsi="Cambria Math"/>
                            </w:rPr>
                            <m:t>16</m:t>
                          </m:r>
                        </m:den>
                      </m:f>
                      <m:r>
                        <w:rPr>
                          <w:rFonts w:ascii="Cambria Math" w:hAnsi="Cambria Math"/>
                        </w:rPr>
                        <m:t>)</m:t>
                      </m:r>
                    </m:e>
                    <m:sup>
                      <m:r>
                        <w:rPr>
                          <w:rFonts w:ascii="Cambria Math" w:hAnsi="Cambria Math"/>
                        </w:rPr>
                        <m:t>2</m:t>
                      </m:r>
                    </m:sup>
                  </m:sSup>
                </m:num>
                <m:den>
                  <m:r>
                    <w:rPr>
                      <w:rFonts w:ascii="Cambria Math" w:hAnsi="Cambria Math"/>
                    </w:rPr>
                    <m:t>(16-1)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2479.503</m:t>
                              </m:r>
                            </m:e>
                            <m:sup>
                              <m:r>
                                <w:rPr>
                                  <w:rFonts w:ascii="Cambria Math" w:hAnsi="Cambria Math"/>
                                </w:rPr>
                                <m:t>2</m:t>
                              </m:r>
                            </m:sup>
                          </m:sSup>
                        </m:num>
                        <m:den>
                          <m:r>
                            <w:rPr>
                              <w:rFonts w:ascii="Cambria Math" w:hAnsi="Cambria Math"/>
                            </w:rPr>
                            <m:t>12</m:t>
                          </m:r>
                        </m:den>
                      </m:f>
                      <m:r>
                        <w:rPr>
                          <w:rFonts w:ascii="Cambria Math" w:hAnsi="Cambria Math"/>
                        </w:rPr>
                        <m:t>)</m:t>
                      </m:r>
                    </m:e>
                    <m:sup>
                      <m:r>
                        <w:rPr>
                          <w:rFonts w:ascii="Cambria Math" w:hAnsi="Cambria Math"/>
                        </w:rPr>
                        <m:t>2</m:t>
                      </m:r>
                    </m:sup>
                  </m:sSup>
                </m:num>
                <m:den>
                  <m:r>
                    <w:rPr>
                      <w:rFonts w:ascii="Cambria Math" w:hAnsi="Cambria Math"/>
                    </w:rPr>
                    <m:t>(12-1)</m:t>
                  </m:r>
                </m:den>
              </m:f>
            </m:den>
          </m:f>
          <m:r>
            <w:rPr>
              <w:rFonts w:ascii="Cambria Math" w:eastAsiaTheme="minorEastAsia" w:hAnsi="Cambria Math"/>
            </w:rPr>
            <m:t>=18.781~19</m:t>
          </m:r>
        </m:oMath>
      </m:oMathPara>
    </w:p>
    <w:p w14:paraId="389D3E02" w14:textId="77777777" w:rsidR="0077501B" w:rsidRPr="00CC4DDA" w:rsidRDefault="0077501B" w:rsidP="00FD60EB">
      <w:pPr>
        <w:rPr>
          <w:rFonts w:eastAsiaTheme="minorEastAsia"/>
        </w:rPr>
      </w:pPr>
    </w:p>
    <w:p w14:paraId="788AD8FE" w14:textId="4F381490" w:rsidR="00CC4DDA" w:rsidRPr="00A92509" w:rsidRDefault="00C46262" w:rsidP="00FD60EB">
      <w:pPr>
        <w:rPr>
          <w:rFonts w:eastAsiaTheme="minorEastAsia"/>
        </w:rPr>
      </w:pPr>
      <w:r>
        <w:rPr>
          <w:rFonts w:eastAsiaTheme="minorEastAsia"/>
        </w:rPr>
        <w:t>Using this value, we can determine that t</w:t>
      </w:r>
      <w:r w:rsidR="00CC4DDA">
        <w:rPr>
          <w:rFonts w:eastAsiaTheme="minorEastAsia"/>
        </w:rPr>
        <w:t xml:space="preserve">he critical region at the </w:t>
      </w:r>
      <w:r w:rsidR="00CC4DDA">
        <w:t>0.05 level of signiﬁcance</w:t>
      </w:r>
      <w:r>
        <w:t xml:space="preserve"> is</w:t>
      </w:r>
      <w:r w:rsidR="00CC4DDA">
        <w:t xml:space="preserve"> </w:t>
      </w:r>
      <m:oMath>
        <m:r>
          <w:rPr>
            <w:rFonts w:ascii="Cambria Math" w:hAnsi="Cambria Math"/>
          </w:rPr>
          <m:t>t&lt;-2.093</m:t>
        </m:r>
      </m:oMath>
      <w:r w:rsidR="00CC4DDA">
        <w:rPr>
          <w:rFonts w:eastAsiaTheme="minorEastAsia"/>
        </w:rPr>
        <w:t xml:space="preserve"> or </w:t>
      </w:r>
      <m:oMath>
        <m:r>
          <w:rPr>
            <w:rFonts w:ascii="Cambria Math" w:hAnsi="Cambria Math"/>
          </w:rPr>
          <m:t>t&gt;2.093</m:t>
        </m:r>
      </m:oMath>
      <w:r w:rsidR="00CC4DDA">
        <w:rPr>
          <w:rFonts w:eastAsiaTheme="minorEastAsia"/>
        </w:rPr>
        <w:t xml:space="preserve">. The calculated test statistic is inside this critical region; therefore,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C4DDA">
        <w:rPr>
          <w:rFonts w:eastAsiaTheme="minorEastAsia"/>
        </w:rPr>
        <w:t xml:space="preserve"> and conclude that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CC4DDA">
        <w:rPr>
          <w:rFonts w:eastAsiaTheme="minorEastAsia"/>
        </w:rPr>
        <w:t>.</w:t>
      </w:r>
    </w:p>
    <w:p w14:paraId="60494A8C" w14:textId="77777777" w:rsidR="006B2800" w:rsidRDefault="006B2800" w:rsidP="00FD60EB"/>
    <w:p w14:paraId="7BA7B5D9" w14:textId="787AFB0A" w:rsidR="006B2800" w:rsidRDefault="006B2800" w:rsidP="006B2800">
      <w:pPr>
        <w:rPr>
          <w:b/>
          <w:bCs/>
          <w:sz w:val="32"/>
          <w:szCs w:val="32"/>
        </w:rPr>
      </w:pPr>
      <w:r w:rsidRPr="00E240A2">
        <w:rPr>
          <w:b/>
          <w:bCs/>
          <w:sz w:val="32"/>
          <w:szCs w:val="32"/>
        </w:rPr>
        <w:t xml:space="preserve">Exercise </w:t>
      </w:r>
      <w:r>
        <w:rPr>
          <w:b/>
          <w:bCs/>
          <w:sz w:val="32"/>
          <w:szCs w:val="32"/>
        </w:rPr>
        <w:t>9.77</w:t>
      </w:r>
    </w:p>
    <w:p w14:paraId="6BF83DCA" w14:textId="75FFC842" w:rsidR="006B2800" w:rsidRDefault="00E96CD7" w:rsidP="00E96CD7">
      <w:r>
        <w:t xml:space="preserve">Construct a 98% conﬁdence interval for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w:t>
      </w:r>
      <w:r>
        <w:t xml:space="preserve">in Exercise 9.42 on page 295, where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are,</w:t>
      </w:r>
      <w:r>
        <w:t xml:space="preserve"> </w:t>
      </w:r>
      <w:r>
        <w:t>respectively, the standard deviations for the distances</w:t>
      </w:r>
      <w:r>
        <w:t xml:space="preserve"> </w:t>
      </w:r>
      <w:r>
        <w:t>traveled p er liter of fuel by the Volkswagen and Toyota</w:t>
      </w:r>
      <w:r>
        <w:t xml:space="preserve"> </w:t>
      </w:r>
      <w:r>
        <w:t>mini-trucks.</w:t>
      </w:r>
    </w:p>
    <w:p w14:paraId="5867A081" w14:textId="77777777" w:rsidR="006120BD" w:rsidRDefault="006120BD" w:rsidP="006B2800">
      <w:pPr>
        <w:rPr>
          <w:b/>
          <w:bCs/>
          <w:sz w:val="32"/>
          <w:szCs w:val="32"/>
        </w:rPr>
      </w:pPr>
    </w:p>
    <w:p w14:paraId="72F08EE9" w14:textId="77777777" w:rsidR="006B2800" w:rsidRPr="00D118A6" w:rsidRDefault="006B2800" w:rsidP="006B2800">
      <w:pPr>
        <w:rPr>
          <w:b/>
          <w:bCs/>
          <w:sz w:val="32"/>
          <w:szCs w:val="32"/>
        </w:rPr>
      </w:pPr>
      <w:r w:rsidRPr="00E240A2">
        <w:rPr>
          <w:b/>
          <w:bCs/>
          <w:sz w:val="32"/>
          <w:szCs w:val="32"/>
        </w:rPr>
        <w:t>Solution</w:t>
      </w:r>
    </w:p>
    <w:p w14:paraId="67BD74B9" w14:textId="7FF37BC0" w:rsidR="006B2800" w:rsidRDefault="00766AFC" w:rsidP="00FD60EB">
      <w:r>
        <w:t>Calculating a confidence interval for a ratio of variances can be done by using the following formula:</w:t>
      </w:r>
    </w:p>
    <w:p w14:paraId="2A9C1AB2" w14:textId="4BC41E7D" w:rsidR="00766AFC" w:rsidRPr="00F026E3" w:rsidRDefault="00766AFC" w:rsidP="00FD60EB">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en>
                  </m:f>
                </m:sub>
              </m:sSub>
            </m:den>
          </m:f>
          <m:r>
            <w:rPr>
              <w:rFonts w:ascii="Cambria Math" w:hAnsi="Cambria Math"/>
            </w:rPr>
            <m:t>&lt;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&lt;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den>
              </m:f>
            </m:sub>
          </m:sSub>
        </m:oMath>
      </m:oMathPara>
    </w:p>
    <w:p w14:paraId="21C43454" w14:textId="77777777" w:rsidR="00F026E3" w:rsidRDefault="00F026E3" w:rsidP="00FD60EB">
      <w:pPr>
        <w:rPr>
          <w:rFonts w:eastAsiaTheme="minorEastAsia"/>
        </w:rPr>
      </w:pPr>
    </w:p>
    <w:p w14:paraId="52F065DE" w14:textId="282A75E9" w:rsidR="00A41137" w:rsidRDefault="00F026E3" w:rsidP="00FD60EB">
      <w:pPr>
        <w:rPr>
          <w:rFonts w:eastAsiaTheme="minorEastAsia"/>
        </w:rPr>
      </w:pPr>
      <w:r>
        <w:rPr>
          <w:rFonts w:eastAsiaTheme="minorEastAsia"/>
        </w:rPr>
        <w:t xml:space="preserve">From exercise 9.42,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0.8</m:t>
        </m:r>
      </m:oMath>
      <w:r>
        <w:rPr>
          <w:rFonts w:eastAsiaTheme="minorEastAsia"/>
        </w:rPr>
        <w:t xml:space="preserve">. Additionally,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=1</m:t>
        </m:r>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9</m:t>
        </m:r>
      </m:oMath>
      <w:r>
        <w:rPr>
          <w:rFonts w:eastAsiaTheme="minorEastAsia"/>
        </w:rPr>
        <w:t xml:space="preserve">. </w:t>
      </w:r>
      <w:r w:rsidR="00A41137">
        <w:rPr>
          <w:rFonts w:eastAsiaTheme="minorEastAsia"/>
        </w:rPr>
        <w:t>To get the f-values, we first determine</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2</m:t>
            </m:r>
          </m:den>
        </m:f>
        <m:r>
          <w:rPr>
            <w:rFonts w:ascii="Cambria Math" w:eastAsiaTheme="minorEastAsia" w:hAnsi="Cambria Math"/>
          </w:rPr>
          <m:t>=0.01</m:t>
        </m:r>
      </m:oMath>
      <w:r>
        <w:rPr>
          <w:rFonts w:eastAsiaTheme="minorEastAsia"/>
        </w:rPr>
        <w:t xml:space="preserve">, </w:t>
      </w:r>
      <w:r w:rsidR="00A41137">
        <w:rPr>
          <w:rFonts w:eastAsiaTheme="minorEastAsia"/>
        </w:rPr>
        <w:t>then using the following R code:</w:t>
      </w:r>
    </w:p>
    <w:bookmarkStart w:id="0" w:name="_MON_1803987843"/>
    <w:bookmarkEnd w:id="0"/>
    <w:p w14:paraId="3EC9FD69" w14:textId="256E4FAC" w:rsidR="00A41137" w:rsidRDefault="00A41137" w:rsidP="00FD60EB">
      <w:pPr>
        <w:rPr>
          <w:rFonts w:eastAsiaTheme="minorEastAsia"/>
        </w:rPr>
      </w:pPr>
      <w:r>
        <w:rPr>
          <w:rFonts w:eastAsiaTheme="minorEastAsia"/>
        </w:rPr>
        <w:object w:dxaOrig="9360" w:dyaOrig="900" w14:anchorId="2B1CE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5pt" o:ole="">
            <v:imagedata r:id="rId8" o:title=""/>
          </v:shape>
          <o:OLEObject Type="Embed" ProgID="Word.OpenDocumentText.12" ShapeID="_x0000_i1027" DrawAspect="Content" ObjectID="_1803988414" r:id="rId9"/>
        </w:object>
      </w:r>
    </w:p>
    <w:p w14:paraId="5E4A33B4" w14:textId="7383C27E" w:rsidR="00F026E3" w:rsidRDefault="00A41137" w:rsidP="00FD60EB">
      <w:pPr>
        <w:rPr>
          <w:rFonts w:eastAsiaTheme="minorEastAsia"/>
        </w:rPr>
      </w:pPr>
      <w:r>
        <w:rPr>
          <w:rFonts w:eastAsiaTheme="minorEastAsia"/>
        </w:rPr>
        <w:t xml:space="preserve">We find that </w:t>
      </w:r>
      <m:oMath>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en>
            </m:f>
          </m:sub>
        </m:sSub>
        <m:r>
          <w:rPr>
            <w:rFonts w:ascii="Cambria Math" w:hAnsi="Cambria Math"/>
          </w:rPr>
          <m:t>=5.17789</m:t>
        </m:r>
      </m:oMath>
      <w:r>
        <w:rPr>
          <w:rFonts w:eastAsiaTheme="minorEastAsia"/>
        </w:rPr>
        <w:t xml:space="preserve"> and </w:t>
      </w:r>
      <m:oMath>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den>
            </m:f>
          </m:sub>
        </m:sSub>
        <m:r>
          <w:rPr>
            <w:rFonts w:ascii="Cambria Math" w:hAnsi="Cambria Math"/>
          </w:rPr>
          <m:t>=4.63154</m:t>
        </m:r>
      </m:oMath>
      <w:r>
        <w:rPr>
          <w:rFonts w:eastAsiaTheme="minorEastAsia"/>
        </w:rPr>
        <w:t xml:space="preserve">. Plugging all these numbers in </w:t>
      </w:r>
      <w:r w:rsidR="00F026E3">
        <w:rPr>
          <w:rFonts w:eastAsiaTheme="minorEastAsia"/>
        </w:rPr>
        <w:t>we can solve the above equation:</w:t>
      </w:r>
    </w:p>
    <w:p w14:paraId="5D12B036" w14:textId="405CBC06" w:rsidR="00F026E3" w:rsidRPr="00A41137" w:rsidRDefault="00B147BC" w:rsidP="00FD60EB">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sSup>
                <m:sSupPr>
                  <m:ctrlPr>
                    <w:rPr>
                      <w:rFonts w:ascii="Cambria Math" w:hAnsi="Cambria Math"/>
                      <w:i/>
                    </w:rPr>
                  </m:ctrlPr>
                </m:sSupPr>
                <m:e>
                  <m:r>
                    <w:rPr>
                      <w:rFonts w:ascii="Cambria Math" w:hAnsi="Cambria Math"/>
                    </w:rPr>
                    <m:t>0.8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5.17789</m:t>
              </m:r>
            </m:den>
          </m:f>
          <m:r>
            <w:rPr>
              <w:rFonts w:ascii="Cambria Math" w:hAnsi="Cambria Math"/>
            </w:rPr>
            <m:t>&lt;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&lt;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sSup>
                <m:sSupPr>
                  <m:ctrlPr>
                    <w:rPr>
                      <w:rFonts w:ascii="Cambria Math" w:hAnsi="Cambria Math"/>
                      <w:i/>
                    </w:rPr>
                  </m:ctrlPr>
                </m:sSupPr>
                <m:e>
                  <m:r>
                    <w:rPr>
                      <w:rFonts w:ascii="Cambria Math" w:hAnsi="Cambria Math"/>
                    </w:rPr>
                    <m:t>0.8</m:t>
                  </m:r>
                </m:e>
                <m:sup>
                  <m:r>
                    <w:rPr>
                      <w:rFonts w:ascii="Cambria Math" w:hAnsi="Cambria Math"/>
                    </w:rPr>
                    <m:t>2</m:t>
                  </m:r>
                </m:sup>
              </m:sSup>
            </m:den>
          </m:f>
          <m:r>
            <w:rPr>
              <w:rFonts w:ascii="Cambria Math" w:hAnsi="Cambria Math"/>
            </w:rPr>
            <m:t>*</m:t>
          </m:r>
          <m:r>
            <w:rPr>
              <w:rFonts w:ascii="Cambria Math" w:hAnsi="Cambria Math"/>
            </w:rPr>
            <m:t>4.63154</m:t>
          </m:r>
        </m:oMath>
      </m:oMathPara>
    </w:p>
    <w:p w14:paraId="48ED3586" w14:textId="474DC11C" w:rsidR="00A41137" w:rsidRPr="00BA29AE" w:rsidRDefault="00BA29AE" w:rsidP="00FD60EB">
      <w:pPr>
        <w:rPr>
          <w:rFonts w:eastAsiaTheme="minorEastAsia"/>
        </w:rPr>
      </w:pPr>
      <m:oMathPara>
        <m:oMath>
          <m:r>
            <w:rPr>
              <w:rFonts w:ascii="Cambria Math" w:hAnsi="Cambria Math"/>
            </w:rPr>
            <m:t>0.3018</m:t>
          </m:r>
          <m:r>
            <w:rPr>
              <w:rFonts w:ascii="Cambria Math" w:hAnsi="Cambria Math"/>
            </w:rPr>
            <m:t>&lt;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&lt;</m:t>
          </m:r>
          <m:r>
            <w:rPr>
              <w:rFonts w:ascii="Cambria Math" w:hAnsi="Cambria Math"/>
            </w:rPr>
            <m:t>7.2368</m:t>
          </m:r>
        </m:oMath>
      </m:oMathPara>
    </w:p>
    <w:p w14:paraId="133524C6" w14:textId="22327C4F" w:rsidR="003C471E" w:rsidRDefault="003C471E" w:rsidP="00FD60EB">
      <w:pPr>
        <w:rPr>
          <w:rFonts w:eastAsiaTheme="minorEastAsia"/>
        </w:rPr>
      </w:pPr>
      <w:r>
        <w:rPr>
          <w:rFonts w:eastAsiaTheme="minorEastAsia"/>
        </w:rPr>
        <w:t>Converting this ratio to cover the standard deviation instead of the variance, we get:</w:t>
      </w:r>
    </w:p>
    <w:p w14:paraId="3CB7165A" w14:textId="01AEA3B5" w:rsidR="003C471E" w:rsidRDefault="003C471E" w:rsidP="00FD60EB">
      <w:pPr>
        <w:rPr>
          <w:rFonts w:eastAsiaTheme="minorEastAsia"/>
        </w:rPr>
      </w:pPr>
      <m:oMathPara>
        <m:oMath>
          <m:r>
            <w:rPr>
              <w:rFonts w:ascii="Cambria Math" w:hAnsi="Cambria Math"/>
            </w:rPr>
            <m:t>0.</m:t>
          </m:r>
          <m:r>
            <w:rPr>
              <w:rFonts w:ascii="Cambria Math" w:hAnsi="Cambria Math"/>
            </w:rPr>
            <m:t>5494</m:t>
          </m:r>
          <m:r>
            <w:rPr>
              <w:rFonts w:ascii="Cambria Math" w:hAnsi="Cambria Math"/>
            </w:rPr>
            <m:t>&lt;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&lt;</m:t>
          </m:r>
          <m:r>
            <w:rPr>
              <w:rFonts w:ascii="Cambria Math" w:hAnsi="Cambria Math"/>
            </w:rPr>
            <m:t>2.6901</m:t>
          </m:r>
        </m:oMath>
      </m:oMathPara>
    </w:p>
    <w:p w14:paraId="57E128AB" w14:textId="481C6BCD" w:rsidR="00BA29AE" w:rsidRDefault="00BA29AE" w:rsidP="00FD60EB">
      <w:r>
        <w:rPr>
          <w:rFonts w:eastAsiaTheme="minorEastAsia"/>
        </w:rPr>
        <w:t xml:space="preserve">Therefore, the </w:t>
      </w:r>
      <w:r>
        <w:t xml:space="preserve">98% conﬁdence interval for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eastAsiaTheme="minorEastAsia"/>
        </w:rPr>
        <w:t xml:space="preserve"> is 0.</w:t>
      </w:r>
      <w:r w:rsidR="003C471E">
        <w:rPr>
          <w:rFonts w:eastAsiaTheme="minorEastAsia"/>
        </w:rPr>
        <w:t>5494</w:t>
      </w:r>
      <w:r>
        <w:rPr>
          <w:rFonts w:eastAsiaTheme="minorEastAsia"/>
        </w:rPr>
        <w:t xml:space="preserve"> to </w:t>
      </w:r>
      <w:r w:rsidR="003C471E">
        <w:rPr>
          <w:rFonts w:eastAsiaTheme="minorEastAsia"/>
        </w:rPr>
        <w:t>2.6901</w:t>
      </w:r>
      <w:r>
        <w:rPr>
          <w:rFonts w:eastAsiaTheme="minorEastAsia"/>
        </w:rPr>
        <w:t>.</w:t>
      </w:r>
    </w:p>
    <w:p w14:paraId="627FB9CA" w14:textId="77777777" w:rsidR="006B2800" w:rsidRDefault="006B2800" w:rsidP="00FD60EB"/>
    <w:p w14:paraId="64BE8495" w14:textId="236ECC94" w:rsidR="00B55C7A" w:rsidRPr="00E240A2" w:rsidRDefault="00B55C7A" w:rsidP="00FD60EB">
      <w:pPr>
        <w:rPr>
          <w:b/>
          <w:bCs/>
        </w:rPr>
      </w:pPr>
      <w:r w:rsidRPr="00E240A2">
        <w:rPr>
          <w:b/>
          <w:bCs/>
          <w:sz w:val="32"/>
          <w:szCs w:val="32"/>
        </w:rPr>
        <w:t>Summary</w:t>
      </w:r>
    </w:p>
    <w:p w14:paraId="6F72A1AE" w14:textId="2A4CA1D6" w:rsidR="00B55C7A" w:rsidRDefault="00D80C4A" w:rsidP="00FD60EB">
      <w:r>
        <w:t>For this week’s assignment we had to solve three separate exercises. The first required us to calculate a confidence interval for the difference between two binomial studies. The second asked us to determine whether we could reject the hypothesis that the mean of measurements at two different measurement stations</w:t>
      </w:r>
      <w:r w:rsidR="003C471E">
        <w:t>. The final exercise required us to compute the confidence interval for the ratio between the standard deviations of two different samples.</w:t>
      </w:r>
    </w:p>
    <w:sectPr w:rsidR="00B55C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A31B8" w14:textId="77777777" w:rsidR="00DB3268" w:rsidRDefault="00DB3268" w:rsidP="00FD60EB">
      <w:r>
        <w:separator/>
      </w:r>
    </w:p>
  </w:endnote>
  <w:endnote w:type="continuationSeparator" w:id="0">
    <w:p w14:paraId="6BA6F31C" w14:textId="77777777" w:rsidR="00DB3268" w:rsidRDefault="00DB3268" w:rsidP="00FD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E9CC4" w14:textId="77777777" w:rsidR="00DB3268" w:rsidRDefault="00DB3268" w:rsidP="00FD60EB">
      <w:r>
        <w:separator/>
      </w:r>
    </w:p>
  </w:footnote>
  <w:footnote w:type="continuationSeparator" w:id="0">
    <w:p w14:paraId="63F08ADE" w14:textId="77777777" w:rsidR="00DB3268" w:rsidRDefault="00DB3268" w:rsidP="00FD6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1CD32" w14:textId="6459106D" w:rsidR="00FD60EB" w:rsidRDefault="00FD60EB">
    <w:pPr>
      <w:pStyle w:val="Header"/>
    </w:pPr>
    <w:r>
      <w:t xml:space="preserve">Project </w:t>
    </w:r>
    <w:r w:rsidR="006B2800">
      <w:t>4</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6DF0"/>
    <w:multiLevelType w:val="hybridMultilevel"/>
    <w:tmpl w:val="B4A83C70"/>
    <w:lvl w:ilvl="0" w:tplc="721AE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C7B78"/>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7F8114A"/>
    <w:multiLevelType w:val="hybridMultilevel"/>
    <w:tmpl w:val="0FB855A0"/>
    <w:lvl w:ilvl="0" w:tplc="5C78F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33A4D"/>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0C3404F"/>
    <w:multiLevelType w:val="hybridMultilevel"/>
    <w:tmpl w:val="B4A83C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1D84BF9"/>
    <w:multiLevelType w:val="hybridMultilevel"/>
    <w:tmpl w:val="E79E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742038">
    <w:abstractNumId w:val="2"/>
  </w:num>
  <w:num w:numId="2" w16cid:durableId="2061515562">
    <w:abstractNumId w:val="5"/>
  </w:num>
  <w:num w:numId="3" w16cid:durableId="858667212">
    <w:abstractNumId w:val="0"/>
  </w:num>
  <w:num w:numId="4" w16cid:durableId="1564758799">
    <w:abstractNumId w:val="3"/>
  </w:num>
  <w:num w:numId="5" w16cid:durableId="1301807679">
    <w:abstractNumId w:val="4"/>
  </w:num>
  <w:num w:numId="6" w16cid:durableId="187040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C"/>
    <w:rsid w:val="00002B91"/>
    <w:rsid w:val="00023B9B"/>
    <w:rsid w:val="000C2D1B"/>
    <w:rsid w:val="000D05A1"/>
    <w:rsid w:val="000F0C5C"/>
    <w:rsid w:val="000F1DAD"/>
    <w:rsid w:val="00104484"/>
    <w:rsid w:val="0012647B"/>
    <w:rsid w:val="001336AB"/>
    <w:rsid w:val="0014333B"/>
    <w:rsid w:val="00177650"/>
    <w:rsid w:val="00185C78"/>
    <w:rsid w:val="001C472A"/>
    <w:rsid w:val="001E073C"/>
    <w:rsid w:val="001E3A03"/>
    <w:rsid w:val="00254676"/>
    <w:rsid w:val="00267B17"/>
    <w:rsid w:val="00270EF2"/>
    <w:rsid w:val="002C0AA1"/>
    <w:rsid w:val="002C120E"/>
    <w:rsid w:val="002D42ED"/>
    <w:rsid w:val="0030251B"/>
    <w:rsid w:val="00304A26"/>
    <w:rsid w:val="00315FC7"/>
    <w:rsid w:val="00350B52"/>
    <w:rsid w:val="00355578"/>
    <w:rsid w:val="003939B4"/>
    <w:rsid w:val="003A1AFD"/>
    <w:rsid w:val="003C471E"/>
    <w:rsid w:val="003D0364"/>
    <w:rsid w:val="003E04AA"/>
    <w:rsid w:val="0042210A"/>
    <w:rsid w:val="0043406C"/>
    <w:rsid w:val="00444ADF"/>
    <w:rsid w:val="004A232B"/>
    <w:rsid w:val="004C059E"/>
    <w:rsid w:val="004C06F7"/>
    <w:rsid w:val="00517738"/>
    <w:rsid w:val="0059604C"/>
    <w:rsid w:val="005A3BE2"/>
    <w:rsid w:val="005C601C"/>
    <w:rsid w:val="005E0A23"/>
    <w:rsid w:val="006120BD"/>
    <w:rsid w:val="00644721"/>
    <w:rsid w:val="00664C97"/>
    <w:rsid w:val="00674762"/>
    <w:rsid w:val="006757D7"/>
    <w:rsid w:val="00694F87"/>
    <w:rsid w:val="006A4E77"/>
    <w:rsid w:val="006B2800"/>
    <w:rsid w:val="006D47AD"/>
    <w:rsid w:val="00703608"/>
    <w:rsid w:val="00727F61"/>
    <w:rsid w:val="00760FE2"/>
    <w:rsid w:val="00766AFC"/>
    <w:rsid w:val="0077501B"/>
    <w:rsid w:val="007876B5"/>
    <w:rsid w:val="007C58AB"/>
    <w:rsid w:val="007E3C26"/>
    <w:rsid w:val="007F722A"/>
    <w:rsid w:val="008A5F25"/>
    <w:rsid w:val="008C7B53"/>
    <w:rsid w:val="008E493C"/>
    <w:rsid w:val="008F1BDB"/>
    <w:rsid w:val="00900399"/>
    <w:rsid w:val="00907923"/>
    <w:rsid w:val="0091541C"/>
    <w:rsid w:val="00924257"/>
    <w:rsid w:val="0092635D"/>
    <w:rsid w:val="00930D7F"/>
    <w:rsid w:val="009602AD"/>
    <w:rsid w:val="009666DE"/>
    <w:rsid w:val="00971C13"/>
    <w:rsid w:val="00972E3A"/>
    <w:rsid w:val="009F2FB1"/>
    <w:rsid w:val="00A300D5"/>
    <w:rsid w:val="00A41137"/>
    <w:rsid w:val="00A571E5"/>
    <w:rsid w:val="00A92509"/>
    <w:rsid w:val="00AB3ED7"/>
    <w:rsid w:val="00AE51A8"/>
    <w:rsid w:val="00B147BC"/>
    <w:rsid w:val="00B22049"/>
    <w:rsid w:val="00B32C2E"/>
    <w:rsid w:val="00B32C52"/>
    <w:rsid w:val="00B359C9"/>
    <w:rsid w:val="00B45996"/>
    <w:rsid w:val="00B46596"/>
    <w:rsid w:val="00B47101"/>
    <w:rsid w:val="00B55C7A"/>
    <w:rsid w:val="00B5770A"/>
    <w:rsid w:val="00B65BB8"/>
    <w:rsid w:val="00B72268"/>
    <w:rsid w:val="00B93157"/>
    <w:rsid w:val="00BA29AE"/>
    <w:rsid w:val="00BA3B4C"/>
    <w:rsid w:val="00BC67E2"/>
    <w:rsid w:val="00BD4E38"/>
    <w:rsid w:val="00C1191E"/>
    <w:rsid w:val="00C17D57"/>
    <w:rsid w:val="00C46262"/>
    <w:rsid w:val="00C6750D"/>
    <w:rsid w:val="00C71050"/>
    <w:rsid w:val="00CC4DDA"/>
    <w:rsid w:val="00CD003A"/>
    <w:rsid w:val="00CD0A37"/>
    <w:rsid w:val="00CE3CAF"/>
    <w:rsid w:val="00D118A6"/>
    <w:rsid w:val="00D27E17"/>
    <w:rsid w:val="00D3575C"/>
    <w:rsid w:val="00D80C4A"/>
    <w:rsid w:val="00D945EA"/>
    <w:rsid w:val="00D952CA"/>
    <w:rsid w:val="00DB3268"/>
    <w:rsid w:val="00E240A2"/>
    <w:rsid w:val="00E35635"/>
    <w:rsid w:val="00E35CA7"/>
    <w:rsid w:val="00E3766F"/>
    <w:rsid w:val="00E55D04"/>
    <w:rsid w:val="00E56547"/>
    <w:rsid w:val="00E72B9A"/>
    <w:rsid w:val="00E9197B"/>
    <w:rsid w:val="00E96CD7"/>
    <w:rsid w:val="00EA28D4"/>
    <w:rsid w:val="00ED33CD"/>
    <w:rsid w:val="00EF642C"/>
    <w:rsid w:val="00F008EF"/>
    <w:rsid w:val="00F026E3"/>
    <w:rsid w:val="00F26031"/>
    <w:rsid w:val="00F41282"/>
    <w:rsid w:val="00FD60EB"/>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4E8"/>
  <w15:chartTrackingRefBased/>
  <w15:docId w15:val="{4191D33B-A1FA-4847-AE3E-3D9AE84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7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7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7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7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75C"/>
    <w:rPr>
      <w:rFonts w:eastAsiaTheme="majorEastAsia" w:cstheme="majorBidi"/>
      <w:color w:val="272727" w:themeColor="text1" w:themeTint="D8"/>
    </w:rPr>
  </w:style>
  <w:style w:type="paragraph" w:styleId="Title">
    <w:name w:val="Title"/>
    <w:basedOn w:val="Normal"/>
    <w:next w:val="Normal"/>
    <w:link w:val="TitleChar"/>
    <w:uiPriority w:val="10"/>
    <w:qFormat/>
    <w:rsid w:val="00D357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75C"/>
    <w:rPr>
      <w:i/>
      <w:iCs/>
      <w:color w:val="404040" w:themeColor="text1" w:themeTint="BF"/>
    </w:rPr>
  </w:style>
  <w:style w:type="paragraph" w:styleId="ListParagraph">
    <w:name w:val="List Paragraph"/>
    <w:basedOn w:val="Normal"/>
    <w:uiPriority w:val="34"/>
    <w:qFormat/>
    <w:rsid w:val="00D3575C"/>
    <w:pPr>
      <w:ind w:left="720"/>
      <w:contextualSpacing/>
    </w:pPr>
  </w:style>
  <w:style w:type="character" w:styleId="IntenseEmphasis">
    <w:name w:val="Intense Emphasis"/>
    <w:basedOn w:val="DefaultParagraphFont"/>
    <w:uiPriority w:val="21"/>
    <w:qFormat/>
    <w:rsid w:val="00D3575C"/>
    <w:rPr>
      <w:i/>
      <w:iCs/>
      <w:color w:val="0F4761" w:themeColor="accent1" w:themeShade="BF"/>
    </w:rPr>
  </w:style>
  <w:style w:type="paragraph" w:styleId="IntenseQuote">
    <w:name w:val="Intense Quote"/>
    <w:basedOn w:val="Normal"/>
    <w:next w:val="Normal"/>
    <w:link w:val="IntenseQuoteChar"/>
    <w:uiPriority w:val="30"/>
    <w:qFormat/>
    <w:rsid w:val="00D3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5C"/>
    <w:rPr>
      <w:i/>
      <w:iCs/>
      <w:color w:val="0F4761" w:themeColor="accent1" w:themeShade="BF"/>
    </w:rPr>
  </w:style>
  <w:style w:type="character" w:styleId="IntenseReference">
    <w:name w:val="Intense Reference"/>
    <w:basedOn w:val="DefaultParagraphFont"/>
    <w:uiPriority w:val="32"/>
    <w:qFormat/>
    <w:rsid w:val="00D3575C"/>
    <w:rPr>
      <w:b/>
      <w:bCs/>
      <w:smallCaps/>
      <w:color w:val="0F4761" w:themeColor="accent1" w:themeShade="BF"/>
      <w:spacing w:val="5"/>
    </w:rPr>
  </w:style>
  <w:style w:type="paragraph" w:styleId="Header">
    <w:name w:val="header"/>
    <w:basedOn w:val="Normal"/>
    <w:link w:val="HeaderChar"/>
    <w:uiPriority w:val="99"/>
    <w:unhideWhenUsed/>
    <w:rsid w:val="00FD60EB"/>
    <w:pPr>
      <w:tabs>
        <w:tab w:val="center" w:pos="4680"/>
        <w:tab w:val="right" w:pos="9360"/>
      </w:tabs>
    </w:pPr>
  </w:style>
  <w:style w:type="character" w:customStyle="1" w:styleId="HeaderChar">
    <w:name w:val="Header Char"/>
    <w:basedOn w:val="DefaultParagraphFont"/>
    <w:link w:val="Header"/>
    <w:uiPriority w:val="99"/>
    <w:rsid w:val="00FD60EB"/>
  </w:style>
  <w:style w:type="paragraph" w:styleId="Footer">
    <w:name w:val="footer"/>
    <w:basedOn w:val="Normal"/>
    <w:link w:val="FooterChar"/>
    <w:uiPriority w:val="99"/>
    <w:unhideWhenUsed/>
    <w:rsid w:val="00FD60EB"/>
    <w:pPr>
      <w:tabs>
        <w:tab w:val="center" w:pos="4680"/>
        <w:tab w:val="right" w:pos="9360"/>
      </w:tabs>
    </w:pPr>
  </w:style>
  <w:style w:type="character" w:customStyle="1" w:styleId="FooterChar">
    <w:name w:val="Footer Char"/>
    <w:basedOn w:val="DefaultParagraphFont"/>
    <w:link w:val="Footer"/>
    <w:uiPriority w:val="99"/>
    <w:rsid w:val="00FD60EB"/>
  </w:style>
  <w:style w:type="character" w:styleId="PlaceholderText">
    <w:name w:val="Placeholder Text"/>
    <w:basedOn w:val="DefaultParagraphFont"/>
    <w:uiPriority w:val="99"/>
    <w:semiHidden/>
    <w:rsid w:val="00FD60EB"/>
    <w:rPr>
      <w:color w:val="666666"/>
    </w:rPr>
  </w:style>
  <w:style w:type="paragraph" w:styleId="HTMLPreformatted">
    <w:name w:val="HTML Preformatted"/>
    <w:basedOn w:val="Normal"/>
    <w:link w:val="HTMLPreformattedChar"/>
    <w:uiPriority w:val="99"/>
    <w:semiHidden/>
    <w:unhideWhenUsed/>
    <w:rsid w:val="00B55C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C7A"/>
    <w:rPr>
      <w:rFonts w:ascii="Consolas" w:hAnsi="Consolas"/>
      <w:sz w:val="20"/>
      <w:szCs w:val="20"/>
    </w:rPr>
  </w:style>
  <w:style w:type="table" w:styleId="TableGrid">
    <w:name w:val="Table Grid"/>
    <w:basedOn w:val="TableNormal"/>
    <w:uiPriority w:val="39"/>
    <w:rsid w:val="00C6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4646">
      <w:bodyDiv w:val="1"/>
      <w:marLeft w:val="0"/>
      <w:marRight w:val="0"/>
      <w:marTop w:val="0"/>
      <w:marBottom w:val="0"/>
      <w:divBdr>
        <w:top w:val="none" w:sz="0" w:space="0" w:color="auto"/>
        <w:left w:val="none" w:sz="0" w:space="0" w:color="auto"/>
        <w:bottom w:val="none" w:sz="0" w:space="0" w:color="auto"/>
        <w:right w:val="none" w:sz="0" w:space="0" w:color="auto"/>
      </w:divBdr>
    </w:div>
    <w:div w:id="30306968">
      <w:bodyDiv w:val="1"/>
      <w:marLeft w:val="0"/>
      <w:marRight w:val="0"/>
      <w:marTop w:val="0"/>
      <w:marBottom w:val="0"/>
      <w:divBdr>
        <w:top w:val="none" w:sz="0" w:space="0" w:color="auto"/>
        <w:left w:val="none" w:sz="0" w:space="0" w:color="auto"/>
        <w:bottom w:val="none" w:sz="0" w:space="0" w:color="auto"/>
        <w:right w:val="none" w:sz="0" w:space="0" w:color="auto"/>
      </w:divBdr>
    </w:div>
    <w:div w:id="609168795">
      <w:bodyDiv w:val="1"/>
      <w:marLeft w:val="0"/>
      <w:marRight w:val="0"/>
      <w:marTop w:val="0"/>
      <w:marBottom w:val="0"/>
      <w:divBdr>
        <w:top w:val="none" w:sz="0" w:space="0" w:color="auto"/>
        <w:left w:val="none" w:sz="0" w:space="0" w:color="auto"/>
        <w:bottom w:val="none" w:sz="0" w:space="0" w:color="auto"/>
        <w:right w:val="none" w:sz="0" w:space="0" w:color="auto"/>
      </w:divBdr>
    </w:div>
    <w:div w:id="968976705">
      <w:bodyDiv w:val="1"/>
      <w:marLeft w:val="0"/>
      <w:marRight w:val="0"/>
      <w:marTop w:val="0"/>
      <w:marBottom w:val="0"/>
      <w:divBdr>
        <w:top w:val="none" w:sz="0" w:space="0" w:color="auto"/>
        <w:left w:val="none" w:sz="0" w:space="0" w:color="auto"/>
        <w:bottom w:val="none" w:sz="0" w:space="0" w:color="auto"/>
        <w:right w:val="none" w:sz="0" w:space="0" w:color="auto"/>
      </w:divBdr>
    </w:div>
    <w:div w:id="1155797399">
      <w:bodyDiv w:val="1"/>
      <w:marLeft w:val="0"/>
      <w:marRight w:val="0"/>
      <w:marTop w:val="0"/>
      <w:marBottom w:val="0"/>
      <w:divBdr>
        <w:top w:val="none" w:sz="0" w:space="0" w:color="auto"/>
        <w:left w:val="none" w:sz="0" w:space="0" w:color="auto"/>
        <w:bottom w:val="none" w:sz="0" w:space="0" w:color="auto"/>
        <w:right w:val="none" w:sz="0" w:space="0" w:color="auto"/>
      </w:divBdr>
    </w:div>
    <w:div w:id="1366366505">
      <w:bodyDiv w:val="1"/>
      <w:marLeft w:val="0"/>
      <w:marRight w:val="0"/>
      <w:marTop w:val="0"/>
      <w:marBottom w:val="0"/>
      <w:divBdr>
        <w:top w:val="none" w:sz="0" w:space="0" w:color="auto"/>
        <w:left w:val="none" w:sz="0" w:space="0" w:color="auto"/>
        <w:bottom w:val="none" w:sz="0" w:space="0" w:color="auto"/>
        <w:right w:val="none" w:sz="0" w:space="0" w:color="auto"/>
      </w:divBdr>
    </w:div>
    <w:div w:id="1370454476">
      <w:bodyDiv w:val="1"/>
      <w:marLeft w:val="0"/>
      <w:marRight w:val="0"/>
      <w:marTop w:val="0"/>
      <w:marBottom w:val="0"/>
      <w:divBdr>
        <w:top w:val="none" w:sz="0" w:space="0" w:color="auto"/>
        <w:left w:val="none" w:sz="0" w:space="0" w:color="auto"/>
        <w:bottom w:val="none" w:sz="0" w:space="0" w:color="auto"/>
        <w:right w:val="none" w:sz="0" w:space="0" w:color="auto"/>
      </w:divBdr>
    </w:div>
    <w:div w:id="1835683668">
      <w:bodyDiv w:val="1"/>
      <w:marLeft w:val="0"/>
      <w:marRight w:val="0"/>
      <w:marTop w:val="0"/>
      <w:marBottom w:val="0"/>
      <w:divBdr>
        <w:top w:val="none" w:sz="0" w:space="0" w:color="auto"/>
        <w:left w:val="none" w:sz="0" w:space="0" w:color="auto"/>
        <w:bottom w:val="none" w:sz="0" w:space="0" w:color="auto"/>
        <w:right w:val="none" w:sz="0" w:space="0" w:color="auto"/>
      </w:divBdr>
    </w:div>
    <w:div w:id="1929119872">
      <w:bodyDiv w:val="1"/>
      <w:marLeft w:val="0"/>
      <w:marRight w:val="0"/>
      <w:marTop w:val="0"/>
      <w:marBottom w:val="0"/>
      <w:divBdr>
        <w:top w:val="none" w:sz="0" w:space="0" w:color="auto"/>
        <w:left w:val="none" w:sz="0" w:space="0" w:color="auto"/>
        <w:bottom w:val="none" w:sz="0" w:space="0" w:color="auto"/>
        <w:right w:val="none" w:sz="0" w:space="0" w:color="auto"/>
      </w:divBdr>
    </w:div>
    <w:div w:id="20362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 T Maj USAF AFGSC AFGSC/A3CT</cp:lastModifiedBy>
  <cp:revision>43</cp:revision>
  <dcterms:created xsi:type="dcterms:W3CDTF">2025-01-18T20:46:00Z</dcterms:created>
  <dcterms:modified xsi:type="dcterms:W3CDTF">2025-03-20T20:07:00Z</dcterms:modified>
</cp:coreProperties>
</file>