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0" w:before="3600"/>
      </w:pPr>
    </w:p>
    <w:p>
      <w:pPr>
        <w:spacing w:after="200"/>
        <w:jc w:val="center"/>
      </w:pPr>
      <w:r>
        <w:rPr>
          <w:rFonts w:ascii="Arial" w:cs="Arial" w:eastAsia="Arial" w:hAnsi="Arial"/>
          <w:b/>
          <w:bCs/>
          <w:color w:val="1B3A5C"/>
          <w:sz w:val="60"/>
          <w:szCs w:val="60"/>
        </w:rPr>
        <w:t xml:space="preserve">PolyArb</w:t>
      </w:r>
    </w:p>
    <w:p>
      <w:pPr>
        <w:spacing w:after="100"/>
        <w:jc w:val="center"/>
      </w:pPr>
      <w:r>
        <w:rPr>
          <w:rFonts w:ascii="Arial" w:cs="Arial" w:eastAsia="Arial" w:hAnsi="Arial"/>
          <w:color w:val="2E75B6"/>
          <w:sz w:val="36"/>
          <w:szCs w:val="36"/>
        </w:rPr>
        <w:t xml:space="preserve">Prediction Market Arbitrage Strategy</w:t>
      </w:r>
    </w:p>
    <w:p>
      <w:pPr>
        <w:pBdr>
          <w:bottom w:val="single" w:color="2E75B6" w:sz="6" w:space="1"/>
        </w:pBdr>
        <w:spacing w:after="600"/>
        <w:jc w:val="center"/>
      </w:pPr>
      <w:r>
        <w:rPr>
          <w:rFonts w:ascii="Arial" w:cs="Arial" w:eastAsia="Arial" w:hAnsi="Arial"/>
          <w:color w:val="555555"/>
          <w:sz w:val="28"/>
          <w:szCs w:val="28"/>
        </w:rPr>
        <w:t xml:space="preserve">30-Day Backtest Performance Report</w:t>
      </w:r>
    </w:p>
    <w:p>
      <w:pPr>
        <w:spacing w:after="400" w:before="400"/>
      </w:pPr>
    </w:p>
    <w:p>
      <w:pPr>
        <w:spacing w:after="80"/>
        <w:jc w:val="center"/>
      </w:pPr>
      <w:r>
        <w:rPr>
          <w:rFonts w:ascii="Arial" w:cs="Arial" w:eastAsia="Arial" w:hAnsi="Arial"/>
          <w:color w:val="333333"/>
          <w:sz w:val="24"/>
          <w:szCs w:val="24"/>
        </w:rPr>
        <w:t xml:space="preserve">Testing Period: February 19 – March 19, 2026</w:t>
      </w:r>
    </w:p>
    <w:p>
      <w:pPr>
        <w:spacing w:after="80"/>
        <w:jc w:val="center"/>
      </w:pPr>
      <w:r>
        <w:rPr>
          <w:rFonts w:ascii="Arial" w:cs="Arial" w:eastAsia="Arial" w:hAnsi="Arial"/>
          <w:color w:val="555555"/>
          <w:sz w:val="22"/>
          <w:szCs w:val="22"/>
        </w:rPr>
        <w:t xml:space="preserve">Platform: Polymarket (Polygon L2)</w:t>
      </w:r>
    </w:p>
    <w:p>
      <w:pPr>
        <w:spacing w:after="80"/>
        <w:jc w:val="center"/>
      </w:pPr>
      <w:r>
        <w:rPr>
          <w:rFonts w:ascii="Arial" w:cs="Arial" w:eastAsia="Arial" w:hAnsi="Arial"/>
          <w:color w:val="555555"/>
          <w:sz w:val="22"/>
          <w:szCs w:val="22"/>
        </w:rPr>
        <w:t xml:space="preserve">Mode: Paper Trading (Simulated Execution)</w:t>
      </w:r>
    </w:p>
    <w:p>
      <w:pPr>
        <w:spacing w:after="80"/>
        <w:jc w:val="center"/>
      </w:pPr>
      <w:r>
        <w:rPr>
          <w:rFonts w:ascii="Arial" w:cs="Arial" w:eastAsia="Arial" w:hAnsi="Arial"/>
          <w:color w:val="555555"/>
          <w:sz w:val="22"/>
          <w:szCs w:val="22"/>
        </w:rPr>
        <w:t xml:space="preserve">Report Date: March 21, 2026</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t xml:space="preserve">PolyArb is an automated arbitrage detection and execution system for </w:t>
      </w:r>
      <w:r>
        <w:rPr>
          <w:b/>
          <w:bCs/>
        </w:rPr>
        <w:t xml:space="preserve">Polymarket</w:t>
      </w:r>
      <w:r>
        <w:t xml:space="preserve">, a blockchain-based prediction market platform built on Polygon L2. The system identifies logically related market pairs (e.g., mutually exclusive outcomes), computes mispriced probability distributions using constrained optimization, and executes paper trades to capture arbitrage spreads.</w:t>
      </w:r>
    </w:p>
    <w:p>
      <w:pPr>
        <w:spacing w:after="120"/>
      </w:pPr>
      <w:r>
        <w:t xml:space="preserve">This report covers a 30-day backtest from February 19 to March 19, 2026, using historical price data replayed through the full strategy pipeline. Two backtest variants were run: </w:t>
      </w:r>
      <w:r>
        <w:rPr>
          <w:b/>
          <w:bCs/>
        </w:rPr>
        <w:t xml:space="preserve">v1 (no settlement)</w:t>
      </w:r>
      <w:r>
        <w:t xml:space="preserve">, where positions are held indefinitely, and </w:t>
      </w:r>
      <w:r>
        <w:rPr>
          <w:b/>
          <w:bCs/>
        </w:rPr>
        <w:t xml:space="preserve">v2 (with settlement)</w:t>
      </w:r>
      <w:r>
        <w:t xml:space="preserve">, where resolved markets trigger position closure at terminal payouts ($1.00 for winners, $0.00 for losers).</w:t>
      </w:r>
    </w:p>
    <w:p>
      <w:pPr>
        <w:spacing w:after="200"/>
      </w:pPr>
      <w:r>
        <w:rPr>
          <w:b/>
          <w:bCs/>
        </w:rPr>
        <w:t xml:space="preserve">Bottom line: </w:t>
      </w:r>
      <w:r>
        <w:t xml:space="preserve">The strategy returned +5.36% over 29 days with settlement enabled, on $10,000 of simulated capital. Settlement revealed that losing positions are being closed more frequently than winners (16 vs. 12), contributing to a net-negative realized PnL of –$245.35. The strategy remains profitable due to unrealized gains in open positions, but the settlement asymmetry warrants further investigation.</w:t>
      </w:r>
    </w:p>
    <w:p>
      <w:pPr>
        <w:pStyle w:val="Heading1"/>
      </w:pPr>
      <w:r>
        <w:t xml:space="preserve">2. Strategy Architecture</w:t>
      </w:r>
    </w:p>
    <w:p>
      <w:pPr>
        <w:spacing w:after="120"/>
      </w:pPr>
      <w:r>
        <w:t xml:space="preserve">The system is structured as a three-stage microservice pipeline running on Docker, with PostgreSQL (extended with pgvector for embedding search) and Redis for inter-service communication.</w:t>
      </w:r>
    </w:p>
    <w:p>
      <w:pPr>
        <w:pStyle w:val="Heading2"/>
      </w:pPr>
      <w:r>
        <w:t xml:space="preserve">2.1 Detection</w:t>
      </w:r>
    </w:p>
    <w:p>
      <w:pPr>
        <w:spacing w:after="120"/>
      </w:pPr>
      <w:r>
        <w:t xml:space="preserve">Market pairs with logical dependencies are identified through a two-pass pipeline. First, a </w:t>
      </w:r>
      <w:r>
        <w:rPr>
          <w:i/>
          <w:iCs/>
        </w:rPr>
        <w:t xml:space="preserve">semantic similarity search</w:t>
      </w:r>
      <w:r>
        <w:t xml:space="preserve"> using text-embedding-3-small (384-dimensional embeddings stored in pgvector) retrieves the top-20 nearest neighbors for each active market at a cosine similarity threshold of 0.82. Second, an </w:t>
      </w:r>
      <w:r>
        <w:rPr>
          <w:i/>
          <w:iCs/>
        </w:rPr>
        <w:t xml:space="preserve">LLM classifier</w:t>
      </w:r>
      <w:r>
        <w:t xml:space="preserve"> (GPT-4o-mini) categorizes candidate pairs into dependency types: mutual exclusion, conditional, partition, or implication. The classifier assigns a confidence score (average: 0.87) and generates a binary constraint matrix encoding which joint outcome states are feasible.</w:t>
      </w:r>
    </w:p>
    <w:p>
      <w:pPr>
        <w:pStyle w:val="Heading2"/>
      </w:pPr>
      <w:r>
        <w:t xml:space="preserve">2.2 Optimization</w:t>
      </w:r>
    </w:p>
    <w:p>
      <w:pPr>
        <w:spacing w:after="120"/>
      </w:pPr>
      <w:r>
        <w:t xml:space="preserve">The optimizer solves a constrained KL-divergence minimization problem. Given observed market prices </w:t>
      </w:r>
      <w:r>
        <w:rPr>
          <w:i/>
          <w:iCs/>
        </w:rPr>
        <w:t xml:space="preserve">p</w:t>
      </w:r>
      <w:r>
        <w:t xml:space="preserve"> (interpreted as implied probability distributions) and a marginal polytope </w:t>
      </w:r>
      <w:r>
        <w:rPr>
          <w:i/>
          <w:iCs/>
        </w:rPr>
        <w:t xml:space="preserve">M</w:t>
      </w:r>
      <w:r>
        <w:t xml:space="preserve"> (defined by the constraint matrix from detection), the optimizer finds the distribution </w:t>
      </w:r>
      <w:r>
        <w:rPr>
          <w:i/>
          <w:iCs/>
        </w:rPr>
        <w:t xml:space="preserve">q* ∈ M</w:t>
      </w:r>
      <w:r>
        <w:t xml:space="preserve"> that minimizes D_KL(q || p). This is solved via a </w:t>
      </w:r>
      <w:r>
        <w:rPr>
          <w:b/>
          <w:bCs/>
        </w:rPr>
        <w:t xml:space="preserve">Frank-Wolfe algorithm</w:t>
      </w:r>
      <w:r>
        <w:t xml:space="preserve"> with Bregman projection, running up to 200 iterations with a duality gap tolerance of 0.001. When q* diverges from p, the difference identifies mispriced outcomes that can be traded for profit.</w:t>
      </w:r>
    </w:p>
    <w:p>
      <w:pPr>
        <w:pStyle w:val="Heading2"/>
      </w:pPr>
      <w:r>
        <w:t xml:space="preserve">2.3 Execution (Paper Trading)</w:t>
      </w:r>
    </w:p>
    <w:p>
      <w:pPr>
        <w:spacing w:after="200"/>
      </w:pPr>
      <w:r>
        <w:t xml:space="preserve">Trades are simulated using a VWAP-based fill model with 0.50% slippage and a 2.0% fee rate (matching Polymarket’s CLOB trading fees). Position sizes are capped at $100 per market outcome. The portfolio starts with $10,000 in simulated capital.</w:t>
      </w:r>
    </w:p>
    <w:p>
      <w:pPr>
        <w:pStyle w:val="Heading1"/>
      </w:pPr>
      <w:r>
        <w:t xml:space="preserve">3. Backtest Results</w:t>
      </w:r>
    </w:p>
    <w:p>
      <w:pPr>
        <w:pStyle w:val="Heading2"/>
      </w:pPr>
      <w:r>
        <w:t xml:space="preserve">3.1 Head-to-Head Comparison: Settlement vs. No Settlement</w:t>
      </w:r>
    </w:p>
    <w:p>
      <w:pPr>
        <w:spacing w:after="160"/>
      </w:pPr>
      <w:r>
        <w:t xml:space="preserve">The following table compares the two backtest variants over the identical 30-day period and trade sequence. The only difference is whether resolved markets trigger position settlement.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0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v1 (No Settlement)</w:t>
            </w:r>
          </w:p>
        </w:tc>
        <w:tc>
          <w:tcPr>
            <w:tcW w:type="dxa" w:w="30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v2 (With Settlement)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Period</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Feb 19 – Mar 19</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Feb 19 – Mar 19</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Final Portfolio Value</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$10,665.91</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$10,535.64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Total Return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+6.66%</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+5.36%</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Realized PnL</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$0.00</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color w:val="CC3333"/>
                <w:sz w:val="20"/>
                <w:szCs w:val="20"/>
              </w:rPr>
              <w:t xml:space="preserve">–$245.35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Unrealized PnL</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–$729.29</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–$641.48</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Total Trades Executed</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1,730</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1,730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Settlements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28 (12W / 16L)</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Open Positions</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~400+</w:t>
            </w:r>
          </w:p>
        </w:tc>
        <w:tc>
          <w:tcPr>
            <w:tcW w:type="dxa" w:w="3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388</w:t>
            </w:r>
          </w:p>
        </w:tc>
      </w:tr>
    </w:tbl>
    <w:p>
      <w:pPr>
        <w:spacing w:after="120" w:before="120"/>
      </w:pPr>
    </w:p>
    <w:p>
      <w:pPr>
        <w:pStyle w:val="Heading2"/>
      </w:pPr>
      <w:r>
        <w:t xml:space="preserve">3.2 Key Observations</w:t>
      </w:r>
    </w:p>
    <w:p>
      <w:pPr>
        <w:pStyle w:val="ListParagraph"/>
        <w:numPr>
          <w:ilvl w:val="0"/>
          <w:numId w:val="2"/>
        </w:numPr>
        <w:spacing w:after="100"/>
      </w:pPr>
      <w:r>
        <w:rPr>
          <w:b/>
          <w:bCs/>
        </w:rPr>
        <w:t xml:space="preserve">Settlement reveals hidden losses. </w:t>
      </w:r>
      <w:r>
        <w:t xml:space="preserve">Without settlement, losing positions remain as open positions with some residual market value. With settlement, they are correctly marked to $0.00, reducing the portfolio by approximately $130. The v1 return of +6.66% overstates true performance; v2’s +5.36% reflects realized economics.</w:t>
      </w:r>
    </w:p>
    <w:p>
      <w:pPr>
        <w:pStyle w:val="ListParagraph"/>
        <w:numPr>
          <w:ilvl w:val="0"/>
          <w:numId w:val="2"/>
        </w:numPr>
        <w:spacing w:after="100"/>
      </w:pPr>
      <w:r>
        <w:rPr>
          <w:b/>
          <w:bCs/>
        </w:rPr>
        <w:t xml:space="preserve">Asymmetric settlement outcomes. </w:t>
      </w:r>
      <w:r>
        <w:t xml:space="preserve">Of 28 settled markets, 16 were losses and 12 were wins (57% loss rate). This suggests the strategy may be systematically entering positions on outcomes that are more likely to resolve unfavorably, or that the market is efficient enough to price winning outcomes close to $1.00 (leaving little upside) while losers still have residual value at entry.</w:t>
      </w:r>
    </w:p>
    <w:p>
      <w:pPr>
        <w:pStyle w:val="ListParagraph"/>
        <w:numPr>
          <w:ilvl w:val="0"/>
          <w:numId w:val="2"/>
        </w:numPr>
        <w:spacing w:after="100"/>
      </w:pPr>
      <w:r>
        <w:rPr>
          <w:b/>
          <w:bCs/>
        </w:rPr>
        <w:t xml:space="preserve">Unrealized PnL dominates. </w:t>
      </w:r>
      <w:r>
        <w:t xml:space="preserve">The bulk of the P&amp;L (–$641) sits in 388 open positions that have not yet resolved. As these markets settle, the true long-term return will become clearer. The strategy’s profitability hinges on whether these open positions resolve favorably.</w:t>
      </w:r>
    </w:p>
    <w:p>
      <w:pPr>
        <w:pStyle w:val="ListParagraph"/>
        <w:numPr>
          <w:ilvl w:val="0"/>
          <w:numId w:val="2"/>
        </w:numPr>
        <w:spacing w:after="200"/>
      </w:pPr>
      <w:r>
        <w:rPr>
          <w:b/>
          <w:bCs/>
        </w:rPr>
        <w:t xml:space="preserve">Still profitable after costs. </w:t>
      </w:r>
      <w:r>
        <w:t xml:space="preserve">Despite fees (2%), slippage (0.5%), and net-negative settlements, the strategy generated a +5.36% return over 29 days. Annualized naïvely, this implies ~67% annual return, though this extrapolation should be treated with caution given the short sample period and unresolved positions.</w:t>
      </w:r>
    </w:p>
    <w:p>
      <w:pPr>
        <w:pStyle w:val="Heading1"/>
      </w:pPr>
      <w:r>
        <w:t xml:space="preserve">4. System Diagnostics</w:t>
      </w:r>
    </w:p>
    <w:p>
      <w:pPr>
        <w:pStyle w:val="Heading2"/>
      </w:pPr>
      <w:r>
        <w:t xml:space="preserve">4.1 Opportunity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Active Markets Scanned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37,612</w:t>
            </w:r>
          </w:p>
        </w:tc>
      </w:tr>
      <w:tr>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Detected Pairs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392 (200 recent)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Dependency Breakdown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252 mutual exclusion, 66 conditional, 2 partition</w:t>
            </w:r>
          </w:p>
        </w:tc>
      </w:tr>
      <w:tr>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Total Opportunities Generated</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320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Convergence Rate (FW Solver)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36.6% (117 of 320)</w:t>
            </w:r>
          </w:p>
        </w:tc>
      </w:tr>
      <w:tr>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Unconverged (Hit Iteration Limit)</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32.5% (104 of 320)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Passed Simulation Filter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30.9% (99 of 320)</w:t>
            </w:r>
          </w:p>
        </w:tc>
      </w:tr>
      <w:tr>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Avg Estimated Profit per Opp.</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$0.1053</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Max Estimated Profit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$1.9950</w:t>
            </w:r>
          </w:p>
        </w:tc>
      </w:tr>
      <w:tr>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Avg Bregman Duality Gap</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0.005398</w:t>
            </w:r>
          </w:p>
        </w:tc>
      </w:tr>
    </w:tbl>
    <w:p>
      <w:pPr>
        <w:spacing w:after="120" w:before="120"/>
      </w:pPr>
    </w:p>
    <w:p>
      <w:pPr>
        <w:pStyle w:val="Heading2"/>
      </w:pPr>
      <w:r>
        <w:t xml:space="preserve">4.2 Trade Execution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Total Trades (30-Day)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1,730</w:t>
            </w:r>
          </w:p>
        </w:tc>
      </w:tr>
      <w:tr>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Recent 24h Trades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284</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Total Volume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$521.07</w:t>
            </w:r>
          </w:p>
        </w:tc>
      </w:tr>
      <w:tr>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Total Fees Paid</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$10.39</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Avg Slippage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0.50%</w:t>
            </w:r>
          </w:p>
        </w:tc>
      </w:tr>
      <w:tr>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Avg Position Size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3.67 shares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Buy/Sell Split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142 / 142 (balanced)</w:t>
            </w:r>
          </w:p>
        </w:tc>
      </w:tr>
    </w:tbl>
    <w:p>
      <w:pPr>
        <w:spacing w:after="120" w:before="120"/>
      </w:pPr>
    </w:p>
    <w:p>
      <w:pPr>
        <w:pStyle w:val="Heading2"/>
      </w:pPr>
      <w:r>
        <w:t xml:space="preserve">4.3 Known Issues</w:t>
      </w:r>
    </w:p>
    <w:p>
      <w:pPr>
        <w:pStyle w:val="ListParagraph"/>
        <w:numPr>
          <w:ilvl w:val="0"/>
          <w:numId w:val="3"/>
        </w:numPr>
        <w:spacing w:after="80"/>
      </w:pPr>
      <w:r>
        <w:rPr>
          <w:b/>
          <w:bCs/>
        </w:rPr>
        <w:t xml:space="preserve">Low solver convergence (36.6%): </w:t>
      </w:r>
      <w:r>
        <w:t xml:space="preserve">A third of optimization attempts hit the 200-iteration ceiling without converging. A constraint audit identified 23 crypto time-window pairs that were misclassified as mutually exclusive when they are actually independent events. These poisoned constraint matrices reduce solver efficiency.</w:t>
      </w:r>
    </w:p>
    <w:p>
      <w:pPr>
        <w:pStyle w:val="ListParagraph"/>
        <w:numPr>
          <w:ilvl w:val="0"/>
          <w:numId w:val="3"/>
        </w:numPr>
        <w:spacing w:after="80"/>
      </w:pPr>
      <w:r>
        <w:rPr>
          <w:b/>
          <w:bCs/>
        </w:rPr>
        <w:t xml:space="preserve">No pair verification pipeline: </w:t>
      </w:r>
      <w:r>
        <w:t xml:space="preserve">All 392 detected pairs are auto-classified with no human or secondary validation step. Of the 320 active opportunities, roughly half originate from unverified pairs.</w:t>
      </w:r>
    </w:p>
    <w:p>
      <w:pPr>
        <w:pStyle w:val="ListParagraph"/>
        <w:numPr>
          <w:ilvl w:val="0"/>
          <w:numId w:val="3"/>
        </w:numPr>
        <w:spacing w:after="80"/>
      </w:pPr>
      <w:r>
        <w:rPr>
          <w:b/>
          <w:bCs/>
        </w:rPr>
        <w:t xml:space="preserve">Small average edge: </w:t>
      </w:r>
      <w:r>
        <w:t xml:space="preserve">At $0.10 average estimated profit per opportunity, the strategy’s per-trade edge is thin relative to the 2% fee + 0.5% slippage overhead. Profitability is achieved through volume (1,730 trades) rather than large individual gains.</w:t>
      </w:r>
    </w:p>
    <w:p>
      <w:r>
        <w:br w:type="page"/>
      </w:r>
    </w:p>
    <w:p>
      <w:pPr>
        <w:pStyle w:val="Heading1"/>
      </w:pPr>
      <w:r>
        <w:t xml:space="preserve">5. Configuration Parameters</w:t>
      </w:r>
    </w:p>
    <w:p>
      <w:pPr>
        <w:spacing w:after="160"/>
      </w:pPr>
      <w:r>
        <w:t xml:space="preserve">The following parameters governed strategy behavior during the backtest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4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Initial Capital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Starting portfolio value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Max Position Size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Per-outcome position cap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Fee 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Polymarket CLOB fee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Slippage Model</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VWAP</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Volume-weighted average fill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Similarity Threshold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0.82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Cosine similarity cutoff for pair candidates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Classifier Model</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GPT-4o-mini</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LLM for dependency classification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FW Max Iterations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Solver iteration budget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FW Gap Tolerance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0.001</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Bregman duality gap convergence threshold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Resolution Threshold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0.98</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Price level triggering settlement</w:t>
            </w:r>
          </w:p>
        </w:tc>
      </w:tr>
    </w:tbl>
    <w:p>
      <w:pPr>
        <w:spacing w:after="200" w:before="200"/>
      </w:pPr>
    </w:p>
    <w:p>
      <w:pPr>
        <w:pStyle w:val="Heading1"/>
      </w:pPr>
      <w:r>
        <w:t xml:space="preserve">6. Conclusions &amp; Next Steps</w:t>
      </w:r>
    </w:p>
    <w:p>
      <w:pPr>
        <w:spacing w:after="120"/>
      </w:pPr>
      <w:r>
        <w:t xml:space="preserve">The 30-day backtest demonstrates that automated arbitrage detection on prediction markets can generate positive returns in a paper-trading environment. The +5.36% return (with settlement) over 29 days is encouraging, but several caveats apply.</w:t>
      </w:r>
    </w:p>
    <w:p>
      <w:pPr>
        <w:spacing w:after="120"/>
      </w:pPr>
      <w:r>
        <w:t xml:space="preserve">First, 388 positions remain open and unresolved. The final realized return could be materially higher or lower depending on how these positions settle. Second, the settlement asymmetry (57% losers) suggests the strategy may have an adverse selection problem—it may be systematically buying outcomes that the market has already correctly priced. Third, the low solver convergence rate (37%) means the optimizer is frequently operating on noisy or misspecified constraint sets, which could degrade edge quality.</w:t>
      </w:r>
    </w:p>
    <w:p>
      <w:pPr>
        <w:spacing w:after="120"/>
      </w:pPr>
      <w:r>
        <w:rPr>
          <w:b/>
          <w:bCs/>
        </w:rPr>
        <w:t xml:space="preserve">Planned improvements</w:t>
      </w:r>
      <w:r>
        <w:t xml:space="preserve"> include fixing the misclassified crypto time-window pairs, adding a secondary verification step for auto-detected pairs, increasing the Frank-Wolfe iteration budget, and running extended backtests across different market regimes to assess robustness.</w:t>
      </w:r>
    </w:p>
    <w:p>
      <w:pPr>
        <w:spacing w:after="120"/>
      </w:pPr>
      <w:r>
        <w:t xml:space="preserve">Live trading parameters have been configured but remain disabled pending further validation. The planned live bankroll is $100 with a 1% scale factor, implying maximum real capital at risk of approximately $1 per opportunity.</w:t>
      </w:r>
    </w:p>
    <w:p>
      <w:pPr>
        <w:spacing w:after="400" w:before="400"/>
      </w:pPr>
    </w:p>
    <w:p>
      <w:pPr>
        <w:pBdr>
          <w:top w:val="single" w:color="CCCCCC" w:sz="4" w:space="8"/>
        </w:pBdr>
        <w:spacing w:before="200"/>
      </w:pPr>
      <w:r>
        <w:rPr>
          <w:rFonts w:ascii="Arial" w:cs="Arial" w:eastAsia="Arial" w:hAnsi="Arial"/>
          <w:b/>
          <w:bCs/>
          <w:color w:val="888888"/>
          <w:sz w:val="18"/>
          <w:szCs w:val="18"/>
        </w:rPr>
        <w:t xml:space="preserve">Disclaimer: </w:t>
      </w:r>
      <w:r>
        <w:rPr>
          <w:rFonts w:ascii="Arial" w:cs="Arial" w:eastAsia="Arial" w:hAnsi="Arial"/>
          <w:color w:val="888888"/>
          <w:sz w:val="18"/>
          <w:szCs w:val="18"/>
        </w:rPr>
        <w:t xml:space="preserve">This report summarizes simulated paper-trading results. Past simulated performance does not guarantee future results. All returns are gross of taxes and net of simulated trading fees. No real capital was deployed during this testing period.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999999"/>
        <w:sz w:val="18"/>
        <w:szCs w:val="18"/>
      </w:rPr>
      <w:t xml:space="preserve">PolyArb — 30-Day Backtest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2026-03-20T23:12:15.413Z</dcterms:created>
  <dcterms:modified xsi:type="dcterms:W3CDTF">2026-03-20T23:12:15.413Z</dcterms:modified>
</cp:coreProperties>
</file>

<file path=docProps/custom.xml><?xml version="1.0" encoding="utf-8"?>
<Properties xmlns="http://schemas.openxmlformats.org/officeDocument/2006/custom-properties" xmlns:vt="http://schemas.openxmlformats.org/officeDocument/2006/docPropsVTypes"/>
</file>