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6B4A"/>
          <w:sz w:val="72"/>
          <w:szCs w:val="72"/>
        </w:rPr>
        <w:t xml:space="preserve">PolyArb</w:t>
      </w:r>
    </w:p>
    <w:p>
      <w:pPr>
        <w:spacing w:after="120"/>
        <w:jc w:val="center"/>
      </w:pPr>
      <w:r>
        <w:rPr>
          <w:rFonts w:ascii="Arial" w:cs="Arial" w:eastAsia="Arial" w:hAnsi="Arial"/>
          <w:color w:val="1A1A2E"/>
          <w:sz w:val="36"/>
          <w:szCs w:val="36"/>
        </w:rPr>
        <w:t xml:space="preserve">Système d’arbitrage combinatoire</w:t>
      </w:r>
    </w:p>
    <w:p>
      <w:pPr>
        <w:spacing w:after="120"/>
        <w:jc w:val="center"/>
      </w:pPr>
      <w:r>
        <w:rPr>
          <w:rFonts w:ascii="Arial" w:cs="Arial" w:eastAsia="Arial" w:hAnsi="Arial"/>
          <w:color w:val="1A1A2E"/>
          <w:sz w:val="36"/>
          <w:szCs w:val="36"/>
        </w:rPr>
        <w:t xml:space="preserve">sur les marchés de prédiction</w:t>
      </w:r>
    </w:p>
    <w:p>
      <w:pPr>
        <w:pBdr>
          <w:bottom w:val="single" w:color="1B6B4A" w:sz="3" w:space="12"/>
        </w:pBdr>
        <w:spacing w:after="600"/>
        <w:jc w:val="center"/>
      </w:pPr>
      <w:r>
        <w:rPr>
          <w:rFonts w:ascii="Arial" w:cs="Arial" w:eastAsia="Arial" w:hAnsi="Arial"/>
          <w:color w:val="6B7280"/>
          <w:sz w:val="28"/>
          <w:szCs w:val="28"/>
        </w:rPr>
        <w:t xml:space="preserve">Guide technique simplifié</w:t>
      </w:r>
    </w:p>
    <w:p>
      <w:pPr>
        <w:spacing w:before="400"/>
      </w:pPr>
    </w:p>
    <w:p>
      <w:pPr>
        <w:jc w:val="center"/>
      </w:pPr>
      <w:r>
        <w:rPr>
          <w:rFonts w:ascii="Arial" w:cs="Arial" w:eastAsia="Arial" w:hAnsi="Arial"/>
          <w:color w:val="6B7280"/>
          <w:sz w:val="22"/>
          <w:szCs w:val="22"/>
        </w:rPr>
        <w:t xml:space="preserve">Ce document explique le fonctionnement de PolyArb</w:t>
      </w:r>
    </w:p>
    <w:p>
      <w:pPr>
        <w:jc w:val="center"/>
      </w:pPr>
      <w:r>
        <w:rPr>
          <w:rFonts w:ascii="Arial" w:cs="Arial" w:eastAsia="Arial" w:hAnsi="Arial"/>
          <w:color w:val="6B7280"/>
          <w:sz w:val="22"/>
          <w:szCs w:val="22"/>
        </w:rPr>
        <w:t xml:space="preserve">en termes simples, sans prérequis en finance ou en programmation.</w:t>
      </w:r>
    </w:p>
    <w:p>
      <w:pPr>
        <w:spacing w:before="1200"/>
      </w:pPr>
    </w:p>
    <w:p>
      <w:pPr>
        <w:jc w:val="center"/>
      </w:pPr>
      <w:r>
        <w:rPr>
          <w:rFonts w:ascii="Arial" w:cs="Arial" w:eastAsia="Arial" w:hAnsi="Arial"/>
          <w:color w:val="6B7280"/>
          <w:sz w:val="22"/>
          <w:szCs w:val="22"/>
        </w:rPr>
        <w:t xml:space="preserve">Mars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 Qu’est-ce qu’un marché de prédiction ?</w:t>
      </w:r>
    </w:p>
    <w:p>
      <w:pPr>
        <w:spacing w:after="160" w:line="340"/>
      </w:pPr>
      <w:r>
        <w:rPr>
          <w:rFonts w:ascii="Arial" w:cs="Arial" w:eastAsia="Arial" w:hAnsi="Arial"/>
          <w:color w:val="333333"/>
          <w:sz w:val="22"/>
          <w:szCs w:val="22"/>
        </w:rPr>
        <w:t xml:space="preserve">Imaginez un pari entre amis : « Est-ce qu’il va pleuvoir demain ? ». Chacun achète un ticket « Oui » ou « Non », et celui qui a raison remporte la mise.</w:t>
      </w:r>
    </w:p>
    <w:p>
      <w:pPr>
        <w:spacing w:after="160" w:line="340"/>
      </w:pPr>
      <w:r>
        <w:rPr>
          <w:rFonts w:ascii="Arial" w:cs="Arial" w:eastAsia="Arial" w:hAnsi="Arial"/>
          <w:color w:val="333333"/>
          <w:sz w:val="22"/>
          <w:szCs w:val="22"/>
        </w:rPr>
        <w:t xml:space="preserve">Un marché de prédiction, c’est ce concept à l’échelle d’Internet. Polymarket est la plus grande plateforme de ce type, avec près de 38 000 marchés couvrant le sport, la politique, les cryptomonnaies, la météo, etc. Chaque marché pose une question par oui ou non, et son prix reflète la probabilité estimée par les participants.</w:t>
      </w:r>
    </w:p>
    <w:p>
      <w:pPr>
        <w:pBdr>
          <w:left w:val="single" w:color="1B6B4A" w:sz="8" w:space="8"/>
        </w:pBdr>
        <w:shd w:fill="F0F7F4" w:val="clear"/>
        <w:spacing w:after="200" w:before="200"/>
        <w:ind w:left="360" w:right="360"/>
      </w:pPr>
      <w:r>
        <w:rPr>
          <w:rFonts w:ascii="Arial" w:cs="Arial" w:eastAsia="Arial" w:hAnsi="Arial"/>
          <w:i/>
          <w:iCs/>
          <w:color w:val="1A1A2E"/>
          <w:sz w:val="22"/>
          <w:szCs w:val="22"/>
        </w:rPr>
        <w:t xml:space="preserve">Exemple : si le marché « FC Tokyo vs FC Machida Zelvia : total buts &gt; 1.5 » est à 0.65, cela signifie que le marché estime à 65 % la probabilité que le match ait 2 buts ou plus.</w:t>
      </w:r>
    </w:p>
    <w:p>
      <w:pPr>
        <w:pStyle w:val="Heading1"/>
        <w:spacing w:after="200" w:before="360"/>
      </w:pPr>
      <w:r>
        <w:rPr>
          <w:rFonts w:ascii="Arial" w:cs="Arial" w:eastAsia="Arial" w:hAnsi="Arial"/>
          <w:b/>
          <w:bCs/>
          <w:color w:val="1A1A2E"/>
          <w:sz w:val="36"/>
          <w:szCs w:val="36"/>
        </w:rPr>
        <w:t xml:space="preserve">2. Qu’est-ce que l’arbitrage ? Pourquoi peut-on en profiter ?</w:t>
      </w:r>
    </w:p>
    <w:p>
      <w:pPr>
        <w:spacing w:after="160" w:line="340"/>
      </w:pPr>
      <w:r>
        <w:rPr>
          <w:rFonts w:ascii="Arial" w:cs="Arial" w:eastAsia="Arial" w:hAnsi="Arial"/>
          <w:color w:val="333333"/>
          <w:sz w:val="22"/>
          <w:szCs w:val="22"/>
        </w:rPr>
        <w:t xml:space="preserve">Imaginez que deux magasins vendent le même téléphone : le magasin A à 300 €, le magasin B à 350 €. Vous achetez chez A et revendez immédiatement chez B : 50 € de bénéfice garanti. C’est l’arbitrage : tirer profit d’un écart de prix sans risque.</w:t>
      </w:r>
    </w:p>
    <w:p>
      <w:pPr>
        <w:spacing w:after="160" w:line="340"/>
      </w:pPr>
      <w:r>
        <w:rPr>
          <w:rFonts w:ascii="Arial" w:cs="Arial" w:eastAsia="Arial" w:hAnsi="Arial"/>
          <w:color w:val="333333"/>
          <w:sz w:val="22"/>
          <w:szCs w:val="22"/>
        </w:rPr>
        <w:t xml:space="preserve">Sur les marchés de prédiction, l’arbitrage est plus subtil. De nombreux marchés sont liés par des relations logiques, mais leurs prix ne reflètent pas toujours cette logique. C’est là que PolyArb entre en jeu.</w:t>
      </w:r>
    </w:p>
    <w:p>
      <w:pPr>
        <w:pBdr>
          <w:left w:val="single" w:color="1B6B4A" w:sz="8" w:space="8"/>
        </w:pBdr>
        <w:shd w:fill="F0F7F4" w:val="clear"/>
        <w:spacing w:after="200" w:before="200"/>
        <w:ind w:left="360" w:right="360"/>
      </w:pPr>
      <w:r>
        <w:rPr>
          <w:rFonts w:ascii="Arial" w:cs="Arial" w:eastAsia="Arial" w:hAnsi="Arial"/>
          <w:i/>
          <w:iCs/>
          <w:color w:val="1A1A2E"/>
          <w:sz w:val="22"/>
          <w:szCs w:val="22"/>
        </w:rPr>
        <w:t xml:space="preserve">Par exemple, « total buts &gt; 2.5 » et « total buts &gt; 1.5 » : si le total dépasse 2.5, il dépasse forcément 1.5. Donc le prix de « &gt; 2.5 » ne peut pas être supérieur à celui de « &gt; 1.5 ». Si le marché viole cette logique, il y a une opportunité d’arbitrage.</w:t>
      </w:r>
    </w:p>
    <w:p>
      <w:pPr>
        <w:pStyle w:val="Heading1"/>
        <w:spacing w:after="200" w:before="360"/>
      </w:pPr>
      <w:r>
        <w:rPr>
          <w:rFonts w:ascii="Arial" w:cs="Arial" w:eastAsia="Arial" w:hAnsi="Arial"/>
          <w:b/>
          <w:bCs/>
          <w:color w:val="1A1A2E"/>
          <w:sz w:val="36"/>
          <w:szCs w:val="36"/>
        </w:rPr>
        <w:t xml:space="preserve">3. Que fait PolyArb ?</w:t>
      </w:r>
    </w:p>
    <w:p>
      <w:pPr>
        <w:spacing w:after="160" w:line="340"/>
      </w:pPr>
      <w:r>
        <w:rPr>
          <w:rFonts w:ascii="Arial" w:cs="Arial" w:eastAsia="Arial" w:hAnsi="Arial"/>
          <w:color w:val="333333"/>
          <w:sz w:val="22"/>
          <w:szCs w:val="22"/>
        </w:rPr>
        <w:t xml:space="preserve">PolyArb est un système automatisé qui surveille près de 38 000 marchés Polymarket, détecte les paires dont les prix sont incohérents, calcule la stratégie de trading optimale, puis simule les transactions avec de l’argent virtuel. Il ne touche jamais à de l’argent réel : c’est du « paper trading », destiné à valider la stratégie.</w:t>
      </w:r>
    </w:p>
    <w:p>
      <w:pPr>
        <w:spacing w:after="160" w:line="340"/>
      </w:pPr>
      <w:r>
        <w:rPr>
          <w:rFonts w:ascii="Arial" w:cs="Arial" w:eastAsia="Arial" w:hAnsi="Arial"/>
          <w:color w:val="333333"/>
          <w:sz w:val="22"/>
          <w:szCs w:val="22"/>
        </w:rPr>
        <w:t xml:space="preserve">Le système tourne sur un serveur local (NAS, 192.168.5.100) via Docker, avec 6 services indépendants.</w:t>
      </w:r>
    </w:p>
    <w:p>
      <w:pPr>
        <w:pStyle w:val="Heading1"/>
        <w:spacing w:after="200" w:before="360"/>
      </w:pPr>
      <w:r>
        <w:rPr>
          <w:rFonts w:ascii="Arial" w:cs="Arial" w:eastAsia="Arial" w:hAnsi="Arial"/>
          <w:b/>
          <w:bCs/>
          <w:color w:val="1A1A2E"/>
          <w:sz w:val="36"/>
          <w:szCs w:val="36"/>
        </w:rPr>
        <w:t xml:space="preserve">4. Les composants : comment ça marche ?</w:t>
      </w:r>
    </w:p>
    <w:p>
      <w:pPr>
        <w:pStyle w:val="Heading2"/>
        <w:spacing w:after="160" w:before="280"/>
      </w:pPr>
      <w:r>
        <w:rPr>
          <w:rFonts w:ascii="Arial" w:cs="Arial" w:eastAsia="Arial" w:hAnsi="Arial"/>
          <w:b/>
          <w:bCs/>
          <w:color w:val="1B6B4A"/>
          <w:sz w:val="28"/>
          <w:szCs w:val="28"/>
        </w:rPr>
        <w:t xml:space="preserve">4.1 Le collecteur (Ingestor)</w:t>
      </w:r>
    </w:p>
    <w:p>
      <w:pPr>
        <w:spacing w:after="160" w:line="340"/>
      </w:pPr>
      <w:r>
        <w:rPr>
          <w:rFonts w:ascii="Arial" w:cs="Arial" w:eastAsia="Arial" w:hAnsi="Arial"/>
          <w:color w:val="333333"/>
          <w:sz w:val="22"/>
          <w:szCs w:val="22"/>
        </w:rPr>
        <w:t xml:space="preserve">Le collecteur est un « informateur » infatigable qui, toutes les 30 secondes, récupère les données de tous les marchés depuis les API de Polymarket.</w:t>
      </w:r>
    </w:p>
    <w:p>
      <w:pPr>
        <w:pStyle w:val="ListParagraph"/>
        <w:numPr>
          <w:ilvl w:val="0"/>
          <w:numId w:val="2"/>
        </w:numPr>
        <w:spacing w:after="80" w:line="340"/>
      </w:pPr>
      <w:r>
        <w:rPr>
          <w:rFonts w:ascii="Arial" w:cs="Arial" w:eastAsia="Arial" w:hAnsi="Arial"/>
          <w:color w:val="333333"/>
          <w:sz w:val="22"/>
          <w:szCs w:val="22"/>
        </w:rPr>
        <w:t xml:space="preserve">Gamma API : métadonnées des marchés (question, description, liquidité)</w:t>
      </w:r>
    </w:p>
    <w:p>
      <w:pPr>
        <w:pStyle w:val="ListParagraph"/>
        <w:numPr>
          <w:ilvl w:val="0"/>
          <w:numId w:val="2"/>
        </w:numPr>
        <w:spacing w:after="80" w:line="340"/>
      </w:pPr>
      <w:r>
        <w:rPr>
          <w:rFonts w:ascii="Arial" w:cs="Arial" w:eastAsia="Arial" w:hAnsi="Arial"/>
          <w:color w:val="333333"/>
          <w:sz w:val="22"/>
          <w:szCs w:val="22"/>
        </w:rPr>
        <w:t xml:space="preserve">CLOB API : prix en temps réel (top 100 par liquidité + marchés déjà appariés)</w:t>
      </w:r>
    </w:p>
    <w:p>
      <w:pPr>
        <w:pStyle w:val="ListParagraph"/>
        <w:numPr>
          <w:ilvl w:val="0"/>
          <w:numId w:val="2"/>
        </w:numPr>
        <w:spacing w:after="80" w:line="340"/>
      </w:pPr>
      <w:r>
        <w:rPr>
          <w:rFonts w:ascii="Arial" w:cs="Arial" w:eastAsia="Arial" w:hAnsi="Arial"/>
          <w:color w:val="333333"/>
          <w:sz w:val="22"/>
          <w:szCs w:val="22"/>
        </w:rPr>
        <w:t xml:space="preserve">OpenAI : transforme chaque question en un vecteur à 384 dimensions (une « empreinte sémantique »)</w:t>
      </w:r>
    </w:p>
    <w:p>
      <w:pPr>
        <w:pBdr>
          <w:left w:val="single" w:color="1B6B4A" w:sz="8" w:space="8"/>
        </w:pBdr>
        <w:shd w:fill="F0F7F4" w:val="clear"/>
        <w:spacing w:after="200" w:before="200"/>
        <w:ind w:left="360" w:right="360"/>
      </w:pPr>
      <w:r>
        <w:rPr>
          <w:rFonts w:ascii="Arial" w:cs="Arial" w:eastAsia="Arial" w:hAnsi="Arial"/>
          <w:i/>
          <w:iCs/>
          <w:color w:val="1A1A2E"/>
          <w:sz w:val="22"/>
          <w:szCs w:val="22"/>
        </w:rPr>
        <w:t xml:space="preserve">Analogie : comme une empreinte digitale identifie une personne, le vecteur encode le « sens » d’un marché. Deux marchés qui parlent de sujets proches auront des empreintes similaires.</w:t>
      </w:r>
    </w:p>
    <w:p>
      <w:pPr>
        <w:pStyle w:val="Heading2"/>
        <w:spacing w:after="160" w:before="280"/>
      </w:pPr>
      <w:r>
        <w:rPr>
          <w:rFonts w:ascii="Arial" w:cs="Arial" w:eastAsia="Arial" w:hAnsi="Arial"/>
          <w:b/>
          <w:bCs/>
          <w:color w:val="1B6B4A"/>
          <w:sz w:val="28"/>
          <w:szCs w:val="28"/>
        </w:rPr>
        <w:t xml:space="preserve">4.2 Le détecteur (Detector)</w:t>
      </w:r>
    </w:p>
    <w:p>
      <w:pPr>
        <w:spacing w:after="160" w:line="340"/>
      </w:pPr>
      <w:r>
        <w:rPr>
          <w:rFonts w:ascii="Arial" w:cs="Arial" w:eastAsia="Arial" w:hAnsi="Arial"/>
          <w:color w:val="333333"/>
          <w:sz w:val="22"/>
          <w:szCs w:val="22"/>
        </w:rPr>
        <w:t xml:space="preserve">Le détecteur identifie les marchés liés logiquement. Il procède en deux étapes :</w:t>
      </w:r>
    </w:p>
    <w:p>
      <w:pPr>
        <w:spacing w:after="160" w:line="340"/>
      </w:pPr>
      <w:r>
        <w:rPr>
          <w:rFonts w:ascii="Arial" w:cs="Arial" w:eastAsia="Arial" w:hAnsi="Arial"/>
          <w:b/>
          <w:bCs/>
          <w:color w:val="333333"/>
          <w:sz w:val="22"/>
          <w:szCs w:val="22"/>
        </w:rPr>
        <w:t xml:space="preserve">Étape 1 : recherche de similitude. </w:t>
      </w:r>
      <w:r>
        <w:rPr>
          <w:rFonts w:ascii="Arial" w:cs="Arial" w:eastAsia="Arial" w:hAnsi="Arial"/>
          <w:color w:val="333333"/>
          <w:sz w:val="22"/>
          <w:szCs w:val="22"/>
        </w:rPr>
        <w:t xml:space="preserve">Parmi les 38 000 marchés, il utilise pgvector (recherche KNN) pour trouver les « voisins les plus proches » de chaque marché. Seules les paires dont la similitude dépasse 82 % sont conservées.</w:t>
      </w:r>
    </w:p>
    <w:p>
      <w:pPr>
        <w:spacing w:after="160" w:line="340"/>
      </w:pPr>
      <w:r>
        <w:rPr>
          <w:rFonts w:ascii="Arial" w:cs="Arial" w:eastAsia="Arial" w:hAnsi="Arial"/>
          <w:b/>
          <w:bCs/>
          <w:color w:val="333333"/>
          <w:sz w:val="22"/>
          <w:szCs w:val="22"/>
        </w:rPr>
        <w:t xml:space="preserve">Étape 2 : classification. </w:t>
      </w:r>
      <w:r>
        <w:rPr>
          <w:rFonts w:ascii="Arial" w:cs="Arial" w:eastAsia="Arial" w:hAnsi="Arial"/>
          <w:color w:val="333333"/>
          <w:sz w:val="22"/>
          <w:szCs w:val="22"/>
        </w:rPr>
        <w:t xml:space="preserve">Pour chaque paire, des règles simples sont appliquées d’abord (même événement ?). Si le résultat est ambigu, GPT-4o-mini analyse la relation logique entre les deux marchés.</w:t>
      </w:r>
    </w:p>
    <w:p>
      <w:pPr>
        <w:spacing w:after="100" w:before="200"/>
      </w:pPr>
      <w:r>
        <w:rPr>
          <w:rFonts w:ascii="Arial" w:cs="Arial" w:eastAsia="Arial" w:hAnsi="Arial"/>
          <w:b/>
          <w:bCs/>
          <w:color w:val="1A1A2E"/>
          <w:sz w:val="22"/>
          <w:szCs w:val="22"/>
        </w:rPr>
        <w:t xml:space="preserve">Les quatre types de relations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760"/>
        <w:gridCol w:w="1200"/>
      </w:tblGrid>
      <w:tr>
        <w:tc>
          <w:tcPr>
            <w:tcW w:type="dxa" w:w="180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60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 clair</w:t>
            </w:r>
          </w:p>
        </w:tc>
        <w:tc>
          <w:tcPr>
            <w:tcW w:type="dxa" w:w="376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Exemple</w:t>
            </w:r>
          </w:p>
        </w:tc>
        <w:tc>
          <w:tcPr>
            <w:tcW w:type="dxa" w:w="120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Contrainte</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Implication</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Si A est vrai, B l’est aussi</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Buts &gt; 2.5 ⇒ Buts &gt; 1.5</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color w:val="333333"/>
                <w:sz w:val="20"/>
                <w:szCs w:val="20"/>
              </w:rPr>
              <w:t xml:space="preserve">P(A)≤P(B)</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Exclusion mutuelle</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A et B ne peuvent pas être vrais ensemble</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BNB hausse 8h10 vs BNB hausse 8h50</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33333"/>
                <w:sz w:val="20"/>
                <w:szCs w:val="20"/>
              </w:rPr>
              <w:t xml:space="preserve">P(A)+P(B)≤1</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Partition</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Résultats exclusifs d’un même événement</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Candidats A / B / C d’une élection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color w:val="333333"/>
                <w:sz w:val="20"/>
                <w:szCs w:val="20"/>
              </w:rPr>
              <w:t xml:space="preserve">Somme = 1</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Conditionnelle</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La probabilité de A dépend de B</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O/U 1.5 vs Les deux équipes marquent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33333"/>
                <w:sz w:val="20"/>
                <w:szCs w:val="20"/>
              </w:rPr>
              <w:t xml:space="preserve">Prob. liées</w:t>
            </w:r>
          </w:p>
        </w:tc>
      </w:tr>
    </w:tbl>
    <w:p>
      <w:pPr>
        <w:spacing w:after="100"/>
      </w:pPr>
    </w:p>
    <w:p>
      <w:pPr>
        <w:pStyle w:val="Heading2"/>
        <w:spacing w:after="160" w:before="280"/>
      </w:pPr>
      <w:r>
        <w:rPr>
          <w:rFonts w:ascii="Arial" w:cs="Arial" w:eastAsia="Arial" w:hAnsi="Arial"/>
          <w:b/>
          <w:bCs/>
          <w:color w:val="1B6B4A"/>
          <w:sz w:val="28"/>
          <w:szCs w:val="28"/>
        </w:rPr>
        <w:t xml:space="preserve">4.3 L’optimiseur (Optimizer)</w:t>
      </w:r>
    </w:p>
    <w:p>
      <w:pPr>
        <w:spacing w:after="160" w:line="340"/>
      </w:pPr>
      <w:r>
        <w:rPr>
          <w:rFonts w:ascii="Arial" w:cs="Arial" w:eastAsia="Arial" w:hAnsi="Arial"/>
          <w:color w:val="333333"/>
          <w:sz w:val="22"/>
          <w:szCs w:val="22"/>
        </w:rPr>
        <w:t xml:space="preserve">Le détecteur a trouvé des paires suspectes, mais ne sait pas encore comment trader. C’est le rôle de l’optimiseur.</w:t>
      </w:r>
    </w:p>
    <w:p>
      <w:pPr>
        <w:spacing w:after="160" w:line="340"/>
      </w:pPr>
      <w:r>
        <w:rPr>
          <w:rFonts w:ascii="Arial" w:cs="Arial" w:eastAsia="Arial" w:hAnsi="Arial"/>
          <w:color w:val="333333"/>
          <w:sz w:val="22"/>
          <w:szCs w:val="22"/>
        </w:rPr>
        <w:t xml:space="preserve">Il utilise l’algorithme de Frank-Wolfe. En termes simples :</w:t>
      </w:r>
    </w:p>
    <w:p>
      <w:pPr>
        <w:pBdr>
          <w:left w:val="single" w:color="1B6B4A" w:sz="8" w:space="8"/>
        </w:pBdr>
        <w:shd w:fill="F0F7F4" w:val="clear"/>
        <w:spacing w:after="200" w:before="200"/>
        <w:ind w:left="360" w:right="360"/>
      </w:pPr>
      <w:r>
        <w:rPr>
          <w:rFonts w:ascii="Arial" w:cs="Arial" w:eastAsia="Arial" w:hAnsi="Arial"/>
          <w:i/>
          <w:iCs/>
          <w:color w:val="1A1A2E"/>
          <w:sz w:val="22"/>
          <w:szCs w:val="22"/>
        </w:rPr>
        <w:t xml:space="preserve">Imaginez que vous êtes au sommet d’une colline (le prix du marché) et que vous cherchez la vallée la plus proche (le prix « juste »). L’algorithme de Frank-Wolfe descend pas à pas dans la direction la plus raide, jusqu’à atteindre le fond. La différence d’altitude entre le sommet et la vallée représente le profit potentiel.</w:t>
      </w:r>
    </w:p>
    <w:p>
      <w:pPr>
        <w:spacing w:after="160" w:line="340"/>
      </w:pPr>
      <w:r>
        <w:rPr>
          <w:rFonts w:ascii="Arial" w:cs="Arial" w:eastAsia="Arial" w:hAnsi="Arial"/>
          <w:color w:val="333333"/>
          <w:sz w:val="22"/>
          <w:szCs w:val="22"/>
        </w:rPr>
        <w:t xml:space="preserve">Concrètement, l’optimiseur :</w:t>
      </w:r>
    </w:p>
    <w:p>
      <w:pPr>
        <w:pStyle w:val="ListParagraph"/>
        <w:numPr>
          <w:ilvl w:val="0"/>
          <w:numId w:val="3"/>
        </w:numPr>
        <w:spacing w:after="80" w:line="340"/>
      </w:pPr>
      <w:r>
        <w:rPr>
          <w:rFonts w:ascii="Arial" w:cs="Arial" w:eastAsia="Arial" w:hAnsi="Arial"/>
          <w:color w:val="333333"/>
          <w:sz w:val="22"/>
          <w:szCs w:val="22"/>
        </w:rPr>
        <w:t xml:space="preserve">Récupère les prix actuels et la matrice de contraintes logiques</w:t>
      </w:r>
    </w:p>
    <w:p>
      <w:pPr>
        <w:pStyle w:val="ListParagraph"/>
        <w:numPr>
          <w:ilvl w:val="0"/>
          <w:numId w:val="3"/>
        </w:numPr>
        <w:spacing w:after="80" w:line="340"/>
      </w:pPr>
      <w:r>
        <w:rPr>
          <w:rFonts w:ascii="Arial" w:cs="Arial" w:eastAsia="Arial" w:hAnsi="Arial"/>
          <w:color w:val="333333"/>
          <w:sz w:val="22"/>
          <w:szCs w:val="22"/>
        </w:rPr>
        <w:t xml:space="preserve">Utilise Frank-Wolfe pour trouver le prix « juste » le plus proche qui respecte la logique</w:t>
      </w:r>
    </w:p>
    <w:p>
      <w:pPr>
        <w:pStyle w:val="ListParagraph"/>
        <w:numPr>
          <w:ilvl w:val="0"/>
          <w:numId w:val="3"/>
        </w:numPr>
        <w:spacing w:after="80" w:line="340"/>
      </w:pPr>
      <w:r>
        <w:rPr>
          <w:rFonts w:ascii="Arial" w:cs="Arial" w:eastAsia="Arial" w:hAnsi="Arial"/>
          <w:color w:val="333333"/>
          <w:sz w:val="22"/>
          <w:szCs w:val="22"/>
        </w:rPr>
        <w:t xml:space="preserve">Fait appel à un solveur (Google OR-Tools) pour gérer les contraintes complexes</w:t>
      </w:r>
    </w:p>
    <w:p>
      <w:pPr>
        <w:pStyle w:val="ListParagraph"/>
        <w:numPr>
          <w:ilvl w:val="0"/>
          <w:numId w:val="3"/>
        </w:numPr>
        <w:spacing w:after="80" w:line="340"/>
      </w:pPr>
      <w:r>
        <w:rPr>
          <w:rFonts w:ascii="Arial" w:cs="Arial" w:eastAsia="Arial" w:hAnsi="Arial"/>
          <w:color w:val="333333"/>
          <w:sz w:val="22"/>
          <w:szCs w:val="22"/>
        </w:rPr>
        <w:t xml:space="preserve">Calcule l’« écart » (edge) pour chaque résultat et génère les ordres de trading</w:t>
      </w:r>
    </w:p>
    <w:p>
      <w:pPr>
        <w:pStyle w:val="Heading2"/>
        <w:spacing w:after="160" w:before="280"/>
      </w:pPr>
      <w:r>
        <w:rPr>
          <w:rFonts w:ascii="Arial" w:cs="Arial" w:eastAsia="Arial" w:hAnsi="Arial"/>
          <w:b/>
          <w:bCs/>
          <w:color w:val="1B6B4A"/>
          <w:sz w:val="28"/>
          <w:szCs w:val="28"/>
        </w:rPr>
        <w:t xml:space="preserve">4.4 Le simulateur (Simulator)</w:t>
      </w:r>
    </w:p>
    <w:p>
      <w:pPr>
        <w:spacing w:after="160" w:line="340"/>
      </w:pPr>
      <w:r>
        <w:rPr>
          <w:rFonts w:ascii="Arial" w:cs="Arial" w:eastAsia="Arial" w:hAnsi="Arial"/>
          <w:color w:val="333333"/>
          <w:sz w:val="22"/>
          <w:szCs w:val="22"/>
        </w:rPr>
        <w:t xml:space="preserve">Même avec un plan de trading optimal, on ne passe pas directement à l’action. Le simulateur utilise un capital virtuel (10 000 $ par défaut) et modélise les frictions du monde réel :</w:t>
      </w:r>
    </w:p>
    <w:p>
      <w:pPr>
        <w:pStyle w:val="ListParagraph"/>
        <w:numPr>
          <w:ilvl w:val="0"/>
          <w:numId w:val="2"/>
        </w:numPr>
        <w:spacing w:after="80" w:line="340"/>
      </w:pPr>
      <w:r>
        <w:rPr>
          <w:rFonts w:ascii="Arial" w:cs="Arial" w:eastAsia="Arial" w:hAnsi="Arial"/>
          <w:b/>
          <w:bCs/>
          <w:color w:val="333333"/>
          <w:sz w:val="22"/>
          <w:szCs w:val="22"/>
        </w:rPr>
        <w:t xml:space="preserve">Slippage (glissement) : </w:t>
      </w:r>
      <w:r>
        <w:rPr>
          <w:rFonts w:ascii="Arial" w:cs="Arial" w:eastAsia="Arial" w:hAnsi="Arial"/>
          <w:color w:val="333333"/>
          <w:sz w:val="22"/>
          <w:szCs w:val="22"/>
        </w:rPr>
        <w:t xml:space="preserve">acheter un grand volume fait monter le prix. Le système calcule le coût réel via le VWAP (prix moyen pondéré par le volume).</w:t>
      </w:r>
    </w:p>
    <w:p>
      <w:pPr>
        <w:pStyle w:val="ListParagraph"/>
        <w:numPr>
          <w:ilvl w:val="0"/>
          <w:numId w:val="2"/>
        </w:numPr>
        <w:spacing w:after="80" w:line="340"/>
      </w:pPr>
      <w:r>
        <w:rPr>
          <w:rFonts w:ascii="Arial" w:cs="Arial" w:eastAsia="Arial" w:hAnsi="Arial"/>
          <w:b/>
          <w:bCs/>
          <w:color w:val="333333"/>
          <w:sz w:val="22"/>
          <w:szCs w:val="22"/>
        </w:rPr>
        <w:t xml:space="preserve">Frais : </w:t>
      </w:r>
      <w:r>
        <w:rPr>
          <w:rFonts w:ascii="Arial" w:cs="Arial" w:eastAsia="Arial" w:hAnsi="Arial"/>
          <w:color w:val="333333"/>
          <w:sz w:val="22"/>
          <w:szCs w:val="22"/>
        </w:rPr>
        <w:t xml:space="preserve">chaque transaction est soumise à 2 % de commission.</w:t>
      </w:r>
    </w:p>
    <w:p>
      <w:pPr>
        <w:pStyle w:val="ListParagraph"/>
        <w:numPr>
          <w:ilvl w:val="0"/>
          <w:numId w:val="2"/>
        </w:numPr>
        <w:spacing w:after="80" w:line="340"/>
      </w:pPr>
      <w:r>
        <w:rPr>
          <w:rFonts w:ascii="Arial" w:cs="Arial" w:eastAsia="Arial" w:hAnsi="Arial"/>
          <w:b/>
          <w:bCs/>
          <w:color w:val="333333"/>
          <w:sz w:val="22"/>
          <w:szCs w:val="22"/>
        </w:rPr>
        <w:t xml:space="preserve">Gestion du capital : </w:t>
      </w:r>
      <w:r>
        <w:rPr>
          <w:rFonts w:ascii="Arial" w:cs="Arial" w:eastAsia="Arial" w:hAnsi="Arial"/>
          <w:color w:val="333333"/>
          <w:sz w:val="22"/>
          <w:szCs w:val="22"/>
        </w:rPr>
        <w:t xml:space="preserve">maximum 100 $ par position pour diversifier le risque.</w:t>
      </w:r>
    </w:p>
    <w:p>
      <w:pPr>
        <w:pStyle w:val="Heading2"/>
        <w:spacing w:after="160" w:before="280"/>
      </w:pPr>
      <w:r>
        <w:rPr>
          <w:rFonts w:ascii="Arial" w:cs="Arial" w:eastAsia="Arial" w:hAnsi="Arial"/>
          <w:b/>
          <w:bCs/>
          <w:color w:val="1B6B4A"/>
          <w:sz w:val="28"/>
          <w:szCs w:val="28"/>
        </w:rPr>
        <w:t xml:space="preserve">4.5 Le tableau de bord (Dashboard)</w:t>
      </w:r>
    </w:p>
    <w:p>
      <w:pPr>
        <w:spacing w:after="160" w:line="340"/>
      </w:pPr>
      <w:r>
        <w:rPr>
          <w:rFonts w:ascii="Arial" w:cs="Arial" w:eastAsia="Arial" w:hAnsi="Arial"/>
          <w:color w:val="333333"/>
          <w:sz w:val="22"/>
          <w:szCs w:val="22"/>
        </w:rPr>
        <w:t xml:space="preserve">Le tableau de bord est la « salle de contrôle » du système, accessible à l’adresse 192.168.5.100:8081. Il affiche en temps réel les paires détectées, les opportunités d’arbitrage, les transactions simulées, l’état du portefeuille, les gains/pertes et le taux de réussite.</w:t>
      </w:r>
    </w:p>
    <w:p>
      <w:pPr>
        <w:pStyle w:val="Heading1"/>
        <w:spacing w:after="200" w:before="360"/>
      </w:pPr>
      <w:r>
        <w:rPr>
          <w:rFonts w:ascii="Arial" w:cs="Arial" w:eastAsia="Arial" w:hAnsi="Arial"/>
          <w:b/>
          <w:bCs/>
          <w:color w:val="1A1A2E"/>
          <w:sz w:val="36"/>
          <w:szCs w:val="36"/>
        </w:rPr>
        <w:t xml:space="preserve">5. Flux de données : de la détection au trading</w:t>
      </w:r>
    </w:p>
    <w:p>
      <w:pPr>
        <w:spacing w:after="160" w:line="340"/>
      </w:pPr>
      <w:r>
        <w:rPr>
          <w:rFonts w:ascii="Arial" w:cs="Arial" w:eastAsia="Arial" w:hAnsi="Arial"/>
          <w:color w:val="333333"/>
          <w:sz w:val="22"/>
          <w:szCs w:val="22"/>
        </w:rPr>
        <w:t xml:space="preserve">Le système fonctionne comme une chaîne de montage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E8F5E9" w:val="clear"/>
            <w:tcMar>
              <w:top w:type="dxa" w:w="100"/>
              <w:left w:type="dxa" w:w="140"/>
              <w:bottom w:type="dxa" w:w="100"/>
              <w:right w:type="dxa" w:w="140"/>
            </w:tcMar>
          </w:tcPr>
          <w:p>
            <w:pPr>
              <w:jc w:val="center"/>
            </w:pPr>
            <w:r>
              <w:rPr>
                <w:rFonts w:ascii="Arial" w:cs="Arial" w:eastAsia="Arial" w:hAnsi="Arial"/>
                <w:b/>
                <w:bCs/>
                <w:sz w:val="20"/>
                <w:szCs w:val="20"/>
              </w:rPr>
              <w:t xml:space="preserve">Collecteur</w:t>
            </w:r>
          </w:p>
          <w:p>
            <w:pPr>
              <w:jc w:val="center"/>
            </w:pPr>
            <w:r>
              <w:rPr>
                <w:sz w:val="20"/>
                <w:szCs w:val="20"/>
              </w:rPr>
              <w:t xml:space="preserve">↓</w:t>
            </w:r>
          </w:p>
          <w:p>
            <w:pPr>
              <w:jc w:val="center"/>
            </w:pPr>
            <w:r>
              <w:rPr>
                <w:rFonts w:ascii="Arial" w:cs="Arial" w:eastAsia="Arial" w:hAnsi="Arial"/>
                <w:color w:val="6B7280"/>
                <w:sz w:val="18"/>
                <w:szCs w:val="18"/>
              </w:rPr>
              <w:t xml:space="preserve">Données</w:t>
            </w:r>
          </w:p>
        </w:tc>
        <w:tc>
          <w:tcPr>
            <w:tcW w:type="dxa" w:w="1872"/>
            <w:tcBorders>
              <w:top w:val="single" w:color="D1D5DB" w:sz="1"/>
              <w:left w:val="single" w:color="D1D5DB" w:sz="1"/>
              <w:bottom w:val="single" w:color="D1D5DB" w:sz="1"/>
              <w:right w:val="single" w:color="D1D5DB" w:sz="1"/>
            </w:tcBorders>
            <w:shd w:fill="E3F2FD" w:val="clear"/>
            <w:tcMar>
              <w:top w:type="dxa" w:w="100"/>
              <w:left w:type="dxa" w:w="140"/>
              <w:bottom w:type="dxa" w:w="100"/>
              <w:right w:type="dxa" w:w="140"/>
            </w:tcMar>
          </w:tcPr>
          <w:p>
            <w:pPr>
              <w:jc w:val="center"/>
            </w:pPr>
            <w:r>
              <w:rPr>
                <w:rFonts w:ascii="Arial" w:cs="Arial" w:eastAsia="Arial" w:hAnsi="Arial"/>
                <w:b/>
                <w:bCs/>
                <w:sz w:val="20"/>
                <w:szCs w:val="20"/>
              </w:rPr>
              <w:t xml:space="preserve">Détecteur</w:t>
            </w:r>
          </w:p>
          <w:p>
            <w:pPr>
              <w:jc w:val="center"/>
            </w:pPr>
            <w:r>
              <w:rPr>
                <w:sz w:val="20"/>
                <w:szCs w:val="20"/>
              </w:rPr>
              <w:t xml:space="preserve">↓</w:t>
            </w:r>
          </w:p>
          <w:p>
            <w:pPr>
              <w:jc w:val="center"/>
            </w:pPr>
            <w:r>
              <w:rPr>
                <w:rFonts w:ascii="Arial" w:cs="Arial" w:eastAsia="Arial" w:hAnsi="Arial"/>
                <w:color w:val="6B7280"/>
                <w:sz w:val="18"/>
                <w:szCs w:val="18"/>
              </w:rPr>
              <w:t xml:space="preserve">Paires</w:t>
            </w:r>
          </w:p>
        </w:tc>
        <w:tc>
          <w:tcPr>
            <w:tcW w:type="dxa" w:w="1872"/>
            <w:tcBorders>
              <w:top w:val="single" w:color="D1D5DB" w:sz="1"/>
              <w:left w:val="single" w:color="D1D5DB" w:sz="1"/>
              <w:bottom w:val="single" w:color="D1D5DB" w:sz="1"/>
              <w:right w:val="single" w:color="D1D5DB" w:sz="1"/>
            </w:tcBorders>
            <w:shd w:fill="FFF3E0" w:val="clear"/>
            <w:tcMar>
              <w:top w:type="dxa" w:w="100"/>
              <w:left w:type="dxa" w:w="140"/>
              <w:bottom w:type="dxa" w:w="100"/>
              <w:right w:type="dxa" w:w="140"/>
            </w:tcMar>
          </w:tcPr>
          <w:p>
            <w:pPr>
              <w:jc w:val="center"/>
            </w:pPr>
            <w:r>
              <w:rPr>
                <w:rFonts w:ascii="Arial" w:cs="Arial" w:eastAsia="Arial" w:hAnsi="Arial"/>
                <w:b/>
                <w:bCs/>
                <w:sz w:val="20"/>
                <w:szCs w:val="20"/>
              </w:rPr>
              <w:t xml:space="preserve">Optimiseur</w:t>
            </w:r>
          </w:p>
          <w:p>
            <w:pPr>
              <w:jc w:val="center"/>
            </w:pPr>
            <w:r>
              <w:rPr>
                <w:sz w:val="20"/>
                <w:szCs w:val="20"/>
              </w:rPr>
              <w:t xml:space="preserve">↓</w:t>
            </w:r>
          </w:p>
          <w:p>
            <w:pPr>
              <w:jc w:val="center"/>
            </w:pPr>
            <w:r>
              <w:rPr>
                <w:rFonts w:ascii="Arial" w:cs="Arial" w:eastAsia="Arial" w:hAnsi="Arial"/>
                <w:color w:val="6B7280"/>
                <w:sz w:val="18"/>
                <w:szCs w:val="18"/>
              </w:rPr>
              <w:t xml:space="preserve">Solution</w:t>
            </w:r>
          </w:p>
        </w:tc>
        <w:tc>
          <w:tcPr>
            <w:tcW w:type="dxa" w:w="1872"/>
            <w:tcBorders>
              <w:top w:val="single" w:color="D1D5DB" w:sz="1"/>
              <w:left w:val="single" w:color="D1D5DB" w:sz="1"/>
              <w:bottom w:val="single" w:color="D1D5DB" w:sz="1"/>
              <w:right w:val="single" w:color="D1D5DB" w:sz="1"/>
            </w:tcBorders>
            <w:shd w:fill="FCE4EC" w:val="clear"/>
            <w:tcMar>
              <w:top w:type="dxa" w:w="100"/>
              <w:left w:type="dxa" w:w="140"/>
              <w:bottom w:type="dxa" w:w="100"/>
              <w:right w:type="dxa" w:w="140"/>
            </w:tcMar>
          </w:tcPr>
          <w:p>
            <w:pPr>
              <w:jc w:val="center"/>
            </w:pPr>
            <w:r>
              <w:rPr>
                <w:rFonts w:ascii="Arial" w:cs="Arial" w:eastAsia="Arial" w:hAnsi="Arial"/>
                <w:b/>
                <w:bCs/>
                <w:sz w:val="20"/>
                <w:szCs w:val="20"/>
              </w:rPr>
              <w:t xml:space="preserve">Simulateur</w:t>
            </w:r>
          </w:p>
          <w:p>
            <w:pPr>
              <w:jc w:val="center"/>
            </w:pPr>
            <w:r>
              <w:rPr>
                <w:sz w:val="20"/>
                <w:szCs w:val="20"/>
              </w:rPr>
              <w:t xml:space="preserve">↓</w:t>
            </w:r>
          </w:p>
          <w:p>
            <w:pPr>
              <w:jc w:val="center"/>
            </w:pPr>
            <w:r>
              <w:rPr>
                <w:rFonts w:ascii="Arial" w:cs="Arial" w:eastAsia="Arial" w:hAnsi="Arial"/>
                <w:color w:val="6B7280"/>
                <w:sz w:val="18"/>
                <w:szCs w:val="18"/>
              </w:rPr>
              <w:t xml:space="preserve">Trades</w:t>
            </w:r>
          </w:p>
        </w:tc>
        <w:tc>
          <w:tcPr>
            <w:tcW w:type="dxa" w:w="1872"/>
            <w:tcBorders>
              <w:top w:val="single" w:color="D1D5DB" w:sz="1"/>
              <w:left w:val="single" w:color="D1D5DB" w:sz="1"/>
              <w:bottom w:val="single" w:color="D1D5DB" w:sz="1"/>
              <w:right w:val="single" w:color="D1D5DB" w:sz="1"/>
            </w:tcBorders>
            <w:shd w:fill="F3E5F5" w:val="clear"/>
            <w:tcMar>
              <w:top w:type="dxa" w:w="100"/>
              <w:left w:type="dxa" w:w="140"/>
              <w:bottom w:type="dxa" w:w="100"/>
              <w:right w:type="dxa" w:w="140"/>
            </w:tcMar>
          </w:tcPr>
          <w:p>
            <w:pPr>
              <w:jc w:val="center"/>
            </w:pPr>
            <w:r>
              <w:rPr>
                <w:rFonts w:ascii="Arial" w:cs="Arial" w:eastAsia="Arial" w:hAnsi="Arial"/>
                <w:b/>
                <w:bCs/>
                <w:sz w:val="20"/>
                <w:szCs w:val="20"/>
              </w:rPr>
              <w:t xml:space="preserve">Tableau de bord</w:t>
            </w:r>
          </w:p>
          <w:p>
            <w:pPr>
              <w:jc w:val="center"/>
            </w:pPr>
            <w:r>
              <w:rPr>
                <w:sz w:val="20"/>
                <w:szCs w:val="20"/>
              </w:rPr>
              <w:t xml:space="preserve">↓</w:t>
            </w:r>
          </w:p>
          <w:p>
            <w:pPr>
              <w:jc w:val="center"/>
            </w:pPr>
            <w:r>
              <w:rPr>
                <w:rFonts w:ascii="Arial" w:cs="Arial" w:eastAsia="Arial" w:hAnsi="Arial"/>
                <w:color w:val="6B7280"/>
                <w:sz w:val="18"/>
                <w:szCs w:val="18"/>
              </w:rPr>
              <w:t xml:space="preserve">Résultats</w:t>
            </w:r>
          </w:p>
        </w:tc>
      </w:tr>
    </w:tbl>
    <w:p>
      <w:pPr>
        <w:spacing w:after="80"/>
      </w:pPr>
    </w:p>
    <w:p>
      <w:pPr>
        <w:spacing w:after="160" w:line="340"/>
      </w:pPr>
      <w:r>
        <w:rPr>
          <w:rFonts w:ascii="Arial" w:cs="Arial" w:eastAsia="Arial" w:hAnsi="Arial"/>
          <w:color w:val="333333"/>
          <w:sz w:val="22"/>
          <w:szCs w:val="22"/>
        </w:rPr>
        <w:t xml:space="preserve">Les services communiquent via Redis (file de messages). Par exemple, dès que le collecteur termine une synchronisation, il envoie un signal « données mises à jour » et le détecteur se met immédiatement au travail.</w:t>
      </w:r>
    </w:p>
    <w:p>
      <w:pPr>
        <w:pStyle w:val="Heading1"/>
        <w:spacing w:after="200" w:before="360"/>
      </w:pPr>
      <w:r>
        <w:rPr>
          <w:rFonts w:ascii="Arial" w:cs="Arial" w:eastAsia="Arial" w:hAnsi="Arial"/>
          <w:b/>
          <w:bCs/>
          <w:color w:val="1A1A2E"/>
          <w:sz w:val="36"/>
          <w:szCs w:val="36"/>
        </w:rPr>
        <w:t xml:space="preserve">6. État actuel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Indicateur</w:t>
            </w:r>
          </w:p>
        </w:tc>
        <w:tc>
          <w:tcPr>
            <w:tcW w:type="dxa" w:w="624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État</w:t>
            </w:r>
          </w:p>
        </w:tc>
      </w:tr>
      <w:tr>
        <w:tc>
          <w:tcPr>
            <w:tcW w:type="dxa" w:w="312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Marchés synchronisés</w:t>
            </w:r>
          </w:p>
        </w:tc>
        <w:tc>
          <w:tcPr>
            <w:tcW w:type="dxa" w:w="62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37 750</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Paires détectées</w:t>
            </w:r>
          </w:p>
        </w:tc>
        <w:tc>
          <w:tcPr>
            <w:tcW w:type="dxa" w:w="62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17 (sport et cryptomonnaies)</w:t>
            </w:r>
          </w:p>
        </w:tc>
      </w:tr>
      <w:tr>
        <w:tc>
          <w:tcPr>
            <w:tcW w:type="dxa" w:w="312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Dimension des vecteurs</w:t>
            </w:r>
          </w:p>
        </w:tc>
        <w:tc>
          <w:tcPr>
            <w:tcW w:type="dxa" w:w="62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384 (OpenAI text-embedding-3-small)</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Fréquence de collecte</w:t>
            </w:r>
          </w:p>
        </w:tc>
        <w:tc>
          <w:tcPr>
            <w:tcW w:type="dxa" w:w="62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Toutes les 30 secondes</w:t>
            </w:r>
          </w:p>
        </w:tc>
      </w:tr>
      <w:tr>
        <w:tc>
          <w:tcPr>
            <w:tcW w:type="dxa" w:w="312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Capital simulé</w:t>
            </w:r>
          </w:p>
        </w:tc>
        <w:tc>
          <w:tcPr>
            <w:tcW w:type="dxa" w:w="62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10 000 $ virtuels</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Déploiement</w:t>
            </w:r>
          </w:p>
        </w:tc>
        <w:tc>
          <w:tcPr>
            <w:tcW w:type="dxa" w:w="62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NAS local (192.168.5.100), Docker</w:t>
            </w:r>
          </w:p>
        </w:tc>
      </w:tr>
    </w:tbl>
    <w:p>
      <w:pPr>
        <w:spacing w:after="100"/>
      </w:pPr>
    </w:p>
    <w:p>
      <w:pPr>
        <w:pStyle w:val="Heading1"/>
        <w:spacing w:after="200" w:before="360"/>
      </w:pPr>
      <w:r>
        <w:rPr>
          <w:rFonts w:ascii="Arial" w:cs="Arial" w:eastAsia="Arial" w:hAnsi="Arial"/>
          <w:b/>
          <w:bCs/>
          <w:color w:val="1A1A2E"/>
          <w:sz w:val="36"/>
          <w:szCs w:val="36"/>
        </w:rPr>
        <w:t xml:space="preserve">7.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Composant</w:t>
            </w:r>
          </w:p>
        </w:tc>
        <w:tc>
          <w:tcPr>
            <w:tcW w:type="dxa" w:w="234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Technologie</w:t>
            </w:r>
          </w:p>
        </w:tc>
        <w:tc>
          <w:tcPr>
            <w:tcW w:type="dxa" w:w="4680"/>
            <w:tcBorders>
              <w:top w:val="single" w:color="D1D5DB" w:sz="1"/>
              <w:left w:val="single" w:color="D1D5DB" w:sz="1"/>
              <w:bottom w:val="single" w:color="D1D5DB" w:sz="1"/>
              <w:right w:val="single" w:color="D1D5DB" w:sz="1"/>
            </w:tcBorders>
            <w:shd w:fill="1B6B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Base de données</w:t>
            </w:r>
          </w:p>
        </w:tc>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PostgreSQL + pgvector</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Stocke marchés, prix et index vectoriel</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Messages</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Redis</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Communication temps réel entre services (pub/sub)</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Embeddings</w:t>
            </w:r>
          </w:p>
        </w:tc>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OpenAI API</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Convertit les questions en vecteurs numériques</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Classificateur</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GPT-4o-mini</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Détermine la relation logique entre deux marchés</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Optimisation</w:t>
            </w:r>
          </w:p>
        </w:tc>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Frank-Wolfe + OR-Tools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Trouve la stratégie de trading optimale</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Conteneurisation</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Docker Compose</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color w:val="333333"/>
                <w:sz w:val="20"/>
                <w:szCs w:val="20"/>
              </w:rPr>
              <w:t xml:space="preserve">6 services indépendants, isolés</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Langage</w:t>
            </w:r>
          </w:p>
        </w:tc>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Python (asyncio)</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color w:val="333333"/>
                <w:sz w:val="20"/>
                <w:szCs w:val="20"/>
              </w:rPr>
              <w:t xml:space="preserve">Architecture asynchrone, haute performance</w:t>
            </w:r>
          </w:p>
        </w:tc>
      </w:tr>
    </w:tbl>
    <w:p>
      <w:pPr>
        <w:spacing w:after="100"/>
      </w:pPr>
    </w:p>
    <w:p>
      <w:pPr>
        <w:pStyle w:val="Heading1"/>
        <w:spacing w:after="200" w:before="360"/>
      </w:pPr>
      <w:r>
        <w:rPr>
          <w:rFonts w:ascii="Arial" w:cs="Arial" w:eastAsia="Arial" w:hAnsi="Arial"/>
          <w:b/>
          <w:bCs/>
          <w:color w:val="1A1A2E"/>
          <w:sz w:val="36"/>
          <w:szCs w:val="36"/>
        </w:rPr>
        <w:t xml:space="preserve">8. Avertissements importants</w:t>
      </w:r>
    </w:p>
    <w:p>
      <w:pPr>
        <w:spacing w:after="160" w:line="340"/>
      </w:pPr>
      <w:r>
        <w:rPr>
          <w:rFonts w:ascii="Arial" w:cs="Arial" w:eastAsia="Arial" w:hAnsi="Arial"/>
          <w:b/>
          <w:bCs/>
          <w:color w:val="333333"/>
          <w:sz w:val="22"/>
          <w:szCs w:val="22"/>
        </w:rPr>
        <w:t xml:space="preserve">Ceci est un projet de recherche, pas un conseil en investissement. </w:t>
      </w:r>
      <w:r>
        <w:rPr>
          <w:rFonts w:ascii="Arial" w:cs="Arial" w:eastAsia="Arial" w:hAnsi="Arial"/>
          <w:color w:val="333333"/>
          <w:sz w:val="22"/>
          <w:szCs w:val="22"/>
        </w:rPr>
        <w:t xml:space="preserve">Le système fonctionne entièrement avec de l’argent virtuel et n’effectue aucune transaction réelle. Son objectif est de valider la stratégie et d’accumuler des données expérimentales. Avant d’envisager toute transaction réelle, il faudrait au minimum 30 à 60 jours de paper trading pour évaluer la fiabilité de la stratégie.</w:t>
      </w:r>
    </w:p>
    <w:p>
      <w:pPr>
        <w:spacing w:after="160"/>
      </w:pPr>
    </w:p>
    <w:p>
      <w:pPr>
        <w:spacing w:after="160" w:line="340"/>
      </w:pPr>
      <w:r>
        <w:rPr>
          <w:rFonts w:ascii="Arial" w:cs="Arial" w:eastAsia="Arial" w:hAnsi="Arial"/>
          <w:color w:val="333333"/>
          <w:sz w:val="22"/>
          <w:szCs w:val="22"/>
        </w:rPr>
        <w:t xml:space="preserve">Le cadre réglementaire des marchés de prédiction varie selon les pays. En France, l’ANJ (Autorité nationale des jeux) a classé ces plateformes comme jeux de hasard illégaux. Aux États-Unis, Polymarket US opère sous régulation de la CFTC. Avant toute utilisation, assurez-vous de connaître et de respecter la législation locale.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PolyArb · Guide technique simplifié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6B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2026-03-20T14:09:39.314Z</dcterms:created>
  <dcterms:modified xsi:type="dcterms:W3CDTF">2026-03-20T14:09:39.315Z</dcterms:modified>
</cp:coreProperties>
</file>

<file path=docProps/custom.xml><?xml version="1.0" encoding="utf-8"?>
<Properties xmlns="http://schemas.openxmlformats.org/officeDocument/2006/custom-properties" xmlns:vt="http://schemas.openxmlformats.org/officeDocument/2006/docPropsVTypes"/>
</file>