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текстовый документ с  подборкой расширений и тем оформления с комментариями.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сайта кафедры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Сетевой адрес: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IP-адрес: 194.226.211.44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Сетевые порты: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Открыты: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(HTTP)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443/tcp (HTTPS)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Закрыты: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8080/tcp (HTTP Proxy)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Аппаратное и программное обеспечение: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Сервер: Nginx 1.13.12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Web-сервер: Nginx 1.13.12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Обратные прокси: Nginx 1.13.12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CMS: Grav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Grav: ict (для сайтов, связанных с IT)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плагины Grav: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core-service-manager (управление основными сервисами Grav)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(интерфейс для редактирования контента)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(отправка электронных писем)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(управление системой аутентификации и входа в систему)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(панель администратора для управления сайтом)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shortcode-core (базовый функционал для работы с шорткодами)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simplesearch (поиск по содержимому сайта)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(управление категориями и тегами)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UI-фреймворк: Bootstrap 4.0.0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Highlight.js (синтаксическая подсветка кода)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Modernizr 2.6.2 (загрузка нужных функций)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Lightbox (модальные окна с изображениями)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3.3.1 (работа с DOM)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MathJax 2.7.0 (отображение математических формул и уравнений)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Cloudflare (глобальная сеть)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cdnjs (доступ к библиотекам)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Аналитика: Yandex.Metrika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SSL-сертификат: GlobalSign (GCC R6 AlphaSSL CA 2023), до 22.04.2025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контента: Русский(Cyrillic)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Кодировка: UTF-8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Предлагаемые расширения: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Grav Events – Календарь мероприятий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добавлять и управлять событиями на сайте кафедры, такими как конференции, вебинары и лекции. Поддерживает интерактивный календарь с возможностью подписки.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Sync – Автоматическая синхронизация контента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преподавателям и администраторам кафедры редактировать сайт через GitHub или GitLab. Обеспечивает контроль версий, удобное редактирование и автоматическое обновление контента.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– Интерактивные лекции и презентации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публиковать слайды прямо на сайте, что удобно для онлайн-обучения. Поддерживает анимации, маркеры, кодовые блоки и другие элементы, полезные для преподавателей.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Предлагаемые темы оформления: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Learn2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разработанная специально для образовательных сайтов. Поддерживает систему документации и позволяет структурировать учебные материалы.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Quark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Современная и легкая тема,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адаптивная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 мобильные устройства. Подходит для официальных сайтов образовательных учреждений.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Scholar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ориентированная на университеты и образовательные платформы. Включает разделы для курсов, событий и преподавателей.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Петелин И.А. ИВТ 2.1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