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0</wp:posOffset>
            </wp:positionV>
            <wp:extent cx="1372235" cy="142684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81297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81297</wp:posOffset>
                </wp:positionV>
                <wp:extent cx="127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ТЕХНОЛОГИЧЕСКОГО ОБРАЗОВАНИЯ</w:t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  <w:br w:type="textWrapping"/>
        <w:t xml:space="preserve">(научно-исследовательская работа)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кафедры ИТиЭО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 Д.В.)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4 курса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(Петелин И.А.)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15"/>
        </w:tabs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43175" cy="2543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4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интеллектуальные системы (Artificial intelligence);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биоинформатика (Bioinformatics);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когнитивные ИТ (Cognitive science);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вычислительная математика (Computational science);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компьютерные науки (Computer science);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технологии баз данных (Database engineering);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цифровые библиотеки (Digital library science);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компьютерная графика (Graphics);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человеко-машинное взаимодействие (Human-computer interaction).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изученной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проблемы.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5uwetqux63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43175" cy="251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4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4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