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B3B7" w14:textId="77777777" w:rsidR="00FA5BDC" w:rsidRPr="00B9254C" w:rsidRDefault="00FA5BDC" w:rsidP="00FA5BDC">
      <w:pPr>
        <w:spacing w:line="240" w:lineRule="auto"/>
        <w:rPr>
          <w:sz w:val="2"/>
          <w:lang w:val="en-GB"/>
        </w:rPr>
        <w:sectPr w:rsidR="00FA5BDC" w:rsidRPr="00B9254C" w:rsidSect="00FA5BDC">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B9254C">
        <w:rPr>
          <w:rStyle w:val="CommentReference"/>
          <w:szCs w:val="20"/>
          <w:lang w:val="en-GB"/>
        </w:rPr>
        <w:commentReference w:id="0"/>
      </w:r>
    </w:p>
    <w:p w14:paraId="6B9B1D76" w14:textId="6EA9F7F4" w:rsidR="00503BDD" w:rsidRPr="00B9254C" w:rsidRDefault="00503BDD" w:rsidP="00503BDD">
      <w:pPr>
        <w:pStyle w:val="Session"/>
        <w:rPr>
          <w:lang w:val="en-GB"/>
        </w:rPr>
      </w:pPr>
      <w:r w:rsidRPr="00B9254C">
        <w:rPr>
          <w:lang w:val="en-GB"/>
        </w:rPr>
        <w:t>Eightieth session</w:t>
      </w:r>
    </w:p>
    <w:p w14:paraId="38C63227" w14:textId="42AFD5CD" w:rsidR="00503BDD" w:rsidRPr="00B9254C" w:rsidRDefault="00503BDD" w:rsidP="00503BDD">
      <w:pPr>
        <w:pStyle w:val="AgendaItemNormal"/>
        <w:rPr>
          <w:lang w:val="en-GB"/>
        </w:rPr>
      </w:pPr>
      <w:r w:rsidRPr="00B9254C">
        <w:rPr>
          <w:lang w:val="en-GB"/>
        </w:rPr>
        <w:t>Agenda item 150</w:t>
      </w:r>
    </w:p>
    <w:p w14:paraId="267EC66E" w14:textId="77777777" w:rsidR="00503BDD" w:rsidRPr="00B9254C" w:rsidRDefault="00503BDD" w:rsidP="00503BDD">
      <w:pPr>
        <w:pStyle w:val="AgendaTitleH2"/>
        <w:rPr>
          <w:lang w:val="en-GB"/>
        </w:rPr>
      </w:pPr>
      <w:r w:rsidRPr="00B9254C">
        <w:rPr>
          <w:lang w:val="en-GB"/>
        </w:rPr>
        <w:t>Financing of the United Nations Multidimensional Integrated Stabilization Mission in the Central African Republic</w:t>
      </w:r>
    </w:p>
    <w:p w14:paraId="688F2FA4" w14:textId="77777777" w:rsidR="00503BDD" w:rsidRPr="00B9254C" w:rsidRDefault="00503BDD" w:rsidP="00503BDD">
      <w:pPr>
        <w:pStyle w:val="SingleTxt"/>
        <w:spacing w:after="0" w:line="120" w:lineRule="exact"/>
        <w:rPr>
          <w:sz w:val="10"/>
          <w:lang w:val="en-GB"/>
        </w:rPr>
      </w:pPr>
    </w:p>
    <w:p w14:paraId="69CEE2E7" w14:textId="77777777" w:rsidR="00503BDD" w:rsidRPr="00B9254C" w:rsidRDefault="00503BDD" w:rsidP="00503BDD">
      <w:pPr>
        <w:pStyle w:val="SingleTxt"/>
        <w:spacing w:after="0" w:line="120" w:lineRule="exact"/>
        <w:rPr>
          <w:sz w:val="10"/>
          <w:lang w:val="en-GB"/>
        </w:rPr>
      </w:pPr>
    </w:p>
    <w:p w14:paraId="75E58AF0" w14:textId="77777777" w:rsidR="00503BDD" w:rsidRPr="00B9254C" w:rsidRDefault="00503BDD" w:rsidP="00503BDD">
      <w:pPr>
        <w:pStyle w:val="SingleTxt"/>
        <w:spacing w:after="0" w:line="120" w:lineRule="exact"/>
        <w:rPr>
          <w:sz w:val="10"/>
          <w:lang w:val="en-GB"/>
        </w:rPr>
      </w:pPr>
    </w:p>
    <w:p w14:paraId="5823A3EF" w14:textId="7AFAB5D7" w:rsidR="00503BDD" w:rsidRPr="00B9254C" w:rsidRDefault="00503BDD" w:rsidP="00503BDD">
      <w:pPr>
        <w:pStyle w:val="TitleHCH"/>
        <w:ind w:right="1830"/>
        <w:rPr>
          <w:lang w:val="en-GB"/>
        </w:rPr>
      </w:pPr>
      <w:r w:rsidRPr="00B9254C">
        <w:rPr>
          <w:lang w:val="en-GB"/>
        </w:rPr>
        <w:tab/>
      </w:r>
      <w:r w:rsidRPr="00B9254C">
        <w:rPr>
          <w:lang w:val="en-GB"/>
        </w:rPr>
        <w:tab/>
        <w:t>Budget performance for the period from 1 July 2024 to 30 June 2025 and budget for the period from 1 July 2026 to 30 June 2027 for the United Nations Multidimensional Integrated Stabilization Mission in the Central African Republic</w:t>
      </w:r>
    </w:p>
    <w:p w14:paraId="733B9C41" w14:textId="77777777" w:rsidR="00503BDD" w:rsidRPr="00B9254C" w:rsidRDefault="00503BDD" w:rsidP="00503BDD">
      <w:pPr>
        <w:pStyle w:val="SingleTxt"/>
        <w:spacing w:after="0" w:line="120" w:lineRule="exact"/>
        <w:rPr>
          <w:sz w:val="10"/>
          <w:lang w:val="en-GB"/>
        </w:rPr>
      </w:pPr>
    </w:p>
    <w:p w14:paraId="2E519878" w14:textId="77777777" w:rsidR="00503BDD" w:rsidRPr="00B9254C" w:rsidRDefault="00503BDD" w:rsidP="00503BDD">
      <w:pPr>
        <w:pStyle w:val="SingleTxt"/>
        <w:spacing w:after="0" w:line="120" w:lineRule="exact"/>
        <w:rPr>
          <w:sz w:val="10"/>
          <w:lang w:val="en-GB"/>
        </w:rPr>
      </w:pPr>
    </w:p>
    <w:p w14:paraId="6BD5CBC9" w14:textId="0C28CDA5" w:rsidR="00FA5BDC" w:rsidRPr="00B9254C" w:rsidRDefault="00503BDD" w:rsidP="00503BDD">
      <w:pPr>
        <w:pStyle w:val="TitleH1"/>
        <w:ind w:right="1260"/>
        <w:rPr>
          <w:lang w:val="en-GB"/>
        </w:rPr>
      </w:pPr>
      <w:r w:rsidRPr="00B9254C">
        <w:rPr>
          <w:lang w:val="en-GB"/>
        </w:rPr>
        <w:tab/>
      </w:r>
      <w:r w:rsidRPr="00B9254C">
        <w:rPr>
          <w:lang w:val="en-GB"/>
        </w:rPr>
        <w:tab/>
        <w:t>Report of the Advisory Committee on Administrative and Budgetary Questions</w:t>
      </w:r>
    </w:p>
    <w:p w14:paraId="54E6B41B" w14:textId="77777777" w:rsidR="00503BDD" w:rsidRPr="00B9254C" w:rsidRDefault="00503BDD" w:rsidP="00503BDD">
      <w:pPr>
        <w:pStyle w:val="SingleTxt"/>
        <w:spacing w:after="0" w:line="120" w:lineRule="exact"/>
        <w:rPr>
          <w:sz w:val="10"/>
          <w:lang w:val="en-GB"/>
        </w:rPr>
      </w:pPr>
    </w:p>
    <w:p w14:paraId="38ECA6E2" w14:textId="77777777" w:rsidR="00503BDD" w:rsidRPr="00B9254C" w:rsidRDefault="00503BDD" w:rsidP="00503BDD">
      <w:pPr>
        <w:pStyle w:val="SingleTxt"/>
        <w:spacing w:after="0" w:line="120" w:lineRule="exact"/>
        <w:rPr>
          <w:sz w:val="10"/>
          <w:lang w:val="en-GB"/>
        </w:rPr>
      </w:pPr>
    </w:p>
    <w:p w14:paraId="2DD7D2E7" w14:textId="77777777" w:rsidR="00503BDD" w:rsidRPr="00B9254C" w:rsidRDefault="00503BDD" w:rsidP="00503BDD">
      <w:pPr>
        <w:pStyle w:val="SingleTxt"/>
        <w:spacing w:after="0" w:line="120" w:lineRule="exact"/>
        <w:rPr>
          <w:sz w:val="10"/>
          <w:lang w:val="en-GB"/>
        </w:rPr>
      </w:pPr>
    </w:p>
    <w:tbl>
      <w:tblPr>
        <w:tblW w:w="7320"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5664"/>
        <w:gridCol w:w="1656"/>
      </w:tblGrid>
      <w:tr w:rsidR="00503BDD" w:rsidRPr="00203135" w14:paraId="1FBF0A5C" w14:textId="77777777" w:rsidTr="00A50FE7">
        <w:trPr>
          <w:trHeight w:hRule="exact" w:val="115"/>
        </w:trPr>
        <w:tc>
          <w:tcPr>
            <w:tcW w:w="5664" w:type="dxa"/>
            <w:tcBorders>
              <w:top w:val="single" w:sz="4" w:space="0" w:color="auto"/>
              <w:left w:val="single" w:sz="4" w:space="0" w:color="auto"/>
              <w:bottom w:val="nil"/>
              <w:right w:val="nil"/>
            </w:tcBorders>
          </w:tcPr>
          <w:p w14:paraId="6FB90058" w14:textId="7777777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rPr>
                <w:lang w:val="en-GB"/>
              </w:rPr>
            </w:pPr>
          </w:p>
        </w:tc>
        <w:tc>
          <w:tcPr>
            <w:tcW w:w="1656" w:type="dxa"/>
            <w:tcBorders>
              <w:top w:val="single" w:sz="4" w:space="0" w:color="auto"/>
              <w:left w:val="nil"/>
              <w:bottom w:val="nil"/>
              <w:right w:val="single" w:sz="4" w:space="0" w:color="auto"/>
            </w:tcBorders>
          </w:tcPr>
          <w:p w14:paraId="274F1400" w14:textId="7777777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rPr>
                <w:lang w:val="en-GB"/>
              </w:rPr>
            </w:pPr>
          </w:p>
        </w:tc>
      </w:tr>
      <w:tr w:rsidR="00503BDD" w:rsidRPr="00B9254C" w14:paraId="16EC5428" w14:textId="77777777" w:rsidTr="00A50FE7">
        <w:tc>
          <w:tcPr>
            <w:tcW w:w="5664" w:type="dxa"/>
            <w:tcBorders>
              <w:top w:val="nil"/>
              <w:left w:val="single" w:sz="4" w:space="0" w:color="auto"/>
              <w:bottom w:val="nil"/>
              <w:right w:val="nil"/>
            </w:tcBorders>
            <w:hideMark/>
          </w:tcPr>
          <w:p w14:paraId="7EFD3466" w14:textId="22859B3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Appropriation for 2024/25</w:t>
            </w:r>
          </w:p>
        </w:tc>
        <w:tc>
          <w:tcPr>
            <w:tcW w:w="1656" w:type="dxa"/>
            <w:tcBorders>
              <w:top w:val="nil"/>
              <w:left w:val="nil"/>
              <w:bottom w:val="nil"/>
              <w:right w:val="single" w:sz="4" w:space="0" w:color="auto"/>
            </w:tcBorders>
            <w:vAlign w:val="bottom"/>
            <w:hideMark/>
          </w:tcPr>
          <w:p w14:paraId="52D02A1C" w14:textId="4B15950F"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$1,171,619,700</w:t>
            </w:r>
          </w:p>
        </w:tc>
      </w:tr>
      <w:tr w:rsidR="00503BDD" w:rsidRPr="00B9254C" w14:paraId="64A7CA49" w14:textId="77777777" w:rsidTr="00A50FE7">
        <w:tc>
          <w:tcPr>
            <w:tcW w:w="5664" w:type="dxa"/>
            <w:tcBorders>
              <w:top w:val="nil"/>
              <w:left w:val="single" w:sz="4" w:space="0" w:color="auto"/>
              <w:bottom w:val="nil"/>
              <w:right w:val="nil"/>
            </w:tcBorders>
            <w:hideMark/>
          </w:tcPr>
          <w:p w14:paraId="03655029" w14:textId="41080D5B"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Allotment for 2024/25</w:t>
            </w:r>
          </w:p>
        </w:tc>
        <w:tc>
          <w:tcPr>
            <w:tcW w:w="1656" w:type="dxa"/>
            <w:tcBorders>
              <w:top w:val="nil"/>
              <w:left w:val="nil"/>
              <w:bottom w:val="nil"/>
              <w:right w:val="single" w:sz="4" w:space="0" w:color="auto"/>
            </w:tcBorders>
            <w:vAlign w:val="bottom"/>
            <w:hideMark/>
          </w:tcPr>
          <w:p w14:paraId="60C0EF43" w14:textId="409A30FE"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$1,147,458,600</w:t>
            </w:r>
          </w:p>
        </w:tc>
      </w:tr>
      <w:tr w:rsidR="00503BDD" w:rsidRPr="00B9254C" w14:paraId="407DA334" w14:textId="77777777" w:rsidTr="00A50FE7">
        <w:tc>
          <w:tcPr>
            <w:tcW w:w="5664" w:type="dxa"/>
            <w:tcBorders>
              <w:top w:val="nil"/>
              <w:left w:val="single" w:sz="4" w:space="0" w:color="auto"/>
              <w:bottom w:val="nil"/>
              <w:right w:val="nil"/>
            </w:tcBorders>
            <w:hideMark/>
          </w:tcPr>
          <w:p w14:paraId="14083068" w14:textId="5F4962DC"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Expenditure for 2024/25</w:t>
            </w:r>
          </w:p>
        </w:tc>
        <w:tc>
          <w:tcPr>
            <w:tcW w:w="1656" w:type="dxa"/>
            <w:tcBorders>
              <w:top w:val="nil"/>
              <w:left w:val="nil"/>
              <w:bottom w:val="nil"/>
              <w:right w:val="single" w:sz="4" w:space="0" w:color="auto"/>
            </w:tcBorders>
            <w:vAlign w:val="bottom"/>
            <w:hideMark/>
          </w:tcPr>
          <w:p w14:paraId="1935D01D" w14:textId="194088CA"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$1,146,269,100</w:t>
            </w:r>
          </w:p>
        </w:tc>
      </w:tr>
      <w:tr w:rsidR="00503BDD" w:rsidRPr="00B9254C" w14:paraId="319AB320" w14:textId="77777777" w:rsidTr="00A50FE7">
        <w:tc>
          <w:tcPr>
            <w:tcW w:w="5664" w:type="dxa"/>
            <w:tcBorders>
              <w:top w:val="nil"/>
              <w:left w:val="single" w:sz="4" w:space="0" w:color="auto"/>
              <w:bottom w:val="nil"/>
              <w:right w:val="nil"/>
            </w:tcBorders>
            <w:hideMark/>
          </w:tcPr>
          <w:p w14:paraId="2EEAE459" w14:textId="33FFDBB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Unencumbered balance for 2024/25</w:t>
            </w:r>
          </w:p>
        </w:tc>
        <w:tc>
          <w:tcPr>
            <w:tcW w:w="1656" w:type="dxa"/>
            <w:tcBorders>
              <w:top w:val="nil"/>
              <w:left w:val="nil"/>
              <w:bottom w:val="nil"/>
              <w:right w:val="single" w:sz="4" w:space="0" w:color="auto"/>
            </w:tcBorders>
            <w:vAlign w:val="bottom"/>
            <w:hideMark/>
          </w:tcPr>
          <w:p w14:paraId="0446F7BD" w14:textId="21496F60"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$25,350,600</w:t>
            </w:r>
          </w:p>
        </w:tc>
      </w:tr>
      <w:tr w:rsidR="00503BDD" w:rsidRPr="00B9254C" w14:paraId="2030C35E" w14:textId="77777777" w:rsidTr="00A50FE7">
        <w:tc>
          <w:tcPr>
            <w:tcW w:w="5664" w:type="dxa"/>
            <w:tcBorders>
              <w:top w:val="nil"/>
              <w:left w:val="single" w:sz="4" w:space="0" w:color="auto"/>
              <w:bottom w:val="nil"/>
              <w:right w:val="nil"/>
            </w:tcBorders>
            <w:hideMark/>
          </w:tcPr>
          <w:p w14:paraId="16D6A593" w14:textId="21AF43B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Appropriation for 2025/26</w:t>
            </w:r>
          </w:p>
        </w:tc>
        <w:tc>
          <w:tcPr>
            <w:tcW w:w="1656" w:type="dxa"/>
            <w:tcBorders>
              <w:top w:val="nil"/>
              <w:left w:val="nil"/>
              <w:bottom w:val="nil"/>
              <w:right w:val="single" w:sz="4" w:space="0" w:color="auto"/>
            </w:tcBorders>
            <w:vAlign w:val="bottom"/>
            <w:hideMark/>
          </w:tcPr>
          <w:p w14:paraId="439AAECD" w14:textId="79DB610B"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$1,174,132,000</w:t>
            </w:r>
          </w:p>
        </w:tc>
      </w:tr>
      <w:tr w:rsidR="00503BDD" w:rsidRPr="00B9254C" w14:paraId="13E2F7C8" w14:textId="77777777" w:rsidTr="00A50FE7">
        <w:tc>
          <w:tcPr>
            <w:tcW w:w="5664" w:type="dxa"/>
            <w:tcBorders>
              <w:top w:val="nil"/>
              <w:left w:val="single" w:sz="4" w:space="0" w:color="auto"/>
              <w:bottom w:val="nil"/>
              <w:right w:val="nil"/>
            </w:tcBorders>
            <w:hideMark/>
          </w:tcPr>
          <w:p w14:paraId="09C3BF46" w14:textId="2B14AF30"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Projected expenditure for 2025/26</w:t>
            </w:r>
            <w:r w:rsidRPr="00B9254C">
              <w:rPr>
                <w:i/>
                <w:iCs/>
                <w:vertAlign w:val="superscript"/>
                <w:lang w:val="en-GB"/>
              </w:rPr>
              <w:t>a,b</w:t>
            </w:r>
          </w:p>
        </w:tc>
        <w:tc>
          <w:tcPr>
            <w:tcW w:w="1656" w:type="dxa"/>
            <w:tcBorders>
              <w:top w:val="nil"/>
              <w:left w:val="nil"/>
              <w:bottom w:val="nil"/>
              <w:right w:val="single" w:sz="4" w:space="0" w:color="auto"/>
            </w:tcBorders>
            <w:vAlign w:val="bottom"/>
            <w:hideMark/>
          </w:tcPr>
          <w:p w14:paraId="358D96E7" w14:textId="07C6BA17"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$997,763,300</w:t>
            </w:r>
          </w:p>
        </w:tc>
      </w:tr>
      <w:tr w:rsidR="00503BDD" w:rsidRPr="00B9254C" w14:paraId="098E0DDE" w14:textId="77777777" w:rsidTr="00A50FE7">
        <w:tc>
          <w:tcPr>
            <w:tcW w:w="5664" w:type="dxa"/>
            <w:tcBorders>
              <w:top w:val="nil"/>
              <w:left w:val="single" w:sz="4" w:space="0" w:color="auto"/>
              <w:bottom w:val="nil"/>
              <w:right w:val="nil"/>
            </w:tcBorders>
            <w:hideMark/>
          </w:tcPr>
          <w:p w14:paraId="054881A9" w14:textId="6F51AADC"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Projected underexpenditure for 2025/26</w:t>
            </w:r>
            <w:r w:rsidRPr="00B9254C">
              <w:rPr>
                <w:i/>
                <w:iCs/>
                <w:vertAlign w:val="superscript"/>
                <w:lang w:val="en-GB"/>
              </w:rPr>
              <w:t>a</w:t>
            </w:r>
          </w:p>
        </w:tc>
        <w:tc>
          <w:tcPr>
            <w:tcW w:w="1656" w:type="dxa"/>
            <w:tcBorders>
              <w:top w:val="nil"/>
              <w:left w:val="nil"/>
              <w:bottom w:val="nil"/>
              <w:right w:val="single" w:sz="4" w:space="0" w:color="auto"/>
            </w:tcBorders>
            <w:vAlign w:val="bottom"/>
            <w:hideMark/>
          </w:tcPr>
          <w:p w14:paraId="49A2E73E" w14:textId="6BF7D405"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$176,368,700</w:t>
            </w:r>
          </w:p>
        </w:tc>
      </w:tr>
      <w:tr w:rsidR="00503BDD" w:rsidRPr="00B9254C" w14:paraId="45A4EC5C" w14:textId="77777777" w:rsidTr="00A50FE7">
        <w:tc>
          <w:tcPr>
            <w:tcW w:w="5664" w:type="dxa"/>
            <w:tcBorders>
              <w:top w:val="nil"/>
              <w:left w:val="single" w:sz="4" w:space="0" w:color="auto"/>
              <w:bottom w:val="nil"/>
              <w:right w:val="nil"/>
            </w:tcBorders>
            <w:hideMark/>
          </w:tcPr>
          <w:p w14:paraId="29B6B70C" w14:textId="27052830" w:rsidR="00503BDD" w:rsidRPr="00B9254C" w:rsidRDefault="00503BDD" w:rsidP="00503BD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0"/>
              <w:jc w:val="left"/>
              <w:rPr>
                <w:lang w:val="en-GB"/>
              </w:rPr>
            </w:pPr>
            <w:r w:rsidRPr="00B9254C">
              <w:rPr>
                <w:lang w:val="en-GB"/>
              </w:rPr>
              <w:t>Proposal submitted by the Secretary-General for 2026/27</w:t>
            </w:r>
          </w:p>
        </w:tc>
        <w:tc>
          <w:tcPr>
            <w:tcW w:w="1656" w:type="dxa"/>
            <w:tcBorders>
              <w:top w:val="nil"/>
              <w:left w:val="nil"/>
              <w:bottom w:val="nil"/>
              <w:right w:val="single" w:sz="4" w:space="0" w:color="auto"/>
            </w:tcBorders>
            <w:vAlign w:val="bottom"/>
            <w:hideMark/>
          </w:tcPr>
          <w:p w14:paraId="61990014" w14:textId="57A510C3"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$1,021,635,400</w:t>
            </w:r>
          </w:p>
        </w:tc>
      </w:tr>
      <w:tr w:rsidR="00503BDD" w:rsidRPr="00B9254C" w14:paraId="00E0153E" w14:textId="77777777" w:rsidTr="00A50FE7">
        <w:tc>
          <w:tcPr>
            <w:tcW w:w="5664" w:type="dxa"/>
            <w:tcBorders>
              <w:top w:val="nil"/>
              <w:left w:val="single" w:sz="4" w:space="0" w:color="auto"/>
              <w:bottom w:val="nil"/>
              <w:right w:val="nil"/>
            </w:tcBorders>
            <w:hideMark/>
          </w:tcPr>
          <w:p w14:paraId="630C713E" w14:textId="06049A51"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B9254C">
              <w:rPr>
                <w:lang w:val="en-GB"/>
              </w:rPr>
              <w:t>Adjustment recommended by the Advisory Committee for 2026/27</w:t>
            </w:r>
          </w:p>
        </w:tc>
        <w:tc>
          <w:tcPr>
            <w:tcW w:w="1656" w:type="dxa"/>
            <w:tcBorders>
              <w:top w:val="nil"/>
              <w:left w:val="nil"/>
              <w:bottom w:val="nil"/>
              <w:right w:val="single" w:sz="4" w:space="0" w:color="auto"/>
            </w:tcBorders>
            <w:vAlign w:val="bottom"/>
            <w:hideMark/>
          </w:tcPr>
          <w:p w14:paraId="6F613FF9" w14:textId="3E8D67DD"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B9254C">
              <w:rPr>
                <w:lang w:val="en-GB"/>
              </w:rPr>
              <w:t>($2,629,300)</w:t>
            </w:r>
          </w:p>
        </w:tc>
      </w:tr>
      <w:tr w:rsidR="00503BDD" w:rsidRPr="00B9254C" w14:paraId="367488F9" w14:textId="77777777" w:rsidTr="00A50FE7">
        <w:tc>
          <w:tcPr>
            <w:tcW w:w="5664" w:type="dxa"/>
            <w:tcBorders>
              <w:top w:val="nil"/>
              <w:left w:val="single" w:sz="4" w:space="0" w:color="auto"/>
              <w:bottom w:val="nil"/>
              <w:right w:val="nil"/>
            </w:tcBorders>
            <w:hideMark/>
          </w:tcPr>
          <w:p w14:paraId="2F9BA0A6" w14:textId="3E665028" w:rsidR="00503BDD" w:rsidRPr="00B9254C" w:rsidRDefault="00503BDD" w:rsidP="00503BD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80"/>
              <w:ind w:left="475" w:right="0"/>
              <w:jc w:val="left"/>
              <w:rPr>
                <w:lang w:val="en-GB"/>
              </w:rPr>
            </w:pPr>
            <w:r w:rsidRPr="00B9254C">
              <w:rPr>
                <w:lang w:val="en-GB"/>
              </w:rPr>
              <w:t>Recommendation of the Advisory Committee for 2026/27</w:t>
            </w:r>
          </w:p>
        </w:tc>
        <w:tc>
          <w:tcPr>
            <w:tcW w:w="1656" w:type="dxa"/>
            <w:tcBorders>
              <w:top w:val="nil"/>
              <w:left w:val="nil"/>
              <w:bottom w:val="nil"/>
              <w:right w:val="single" w:sz="4" w:space="0" w:color="auto"/>
            </w:tcBorders>
            <w:vAlign w:val="bottom"/>
            <w:hideMark/>
          </w:tcPr>
          <w:p w14:paraId="006ED1D5" w14:textId="7E5A7544" w:rsidR="00503BDD" w:rsidRPr="00B9254C" w:rsidRDefault="00503BDD" w:rsidP="00203135">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80"/>
              <w:ind w:left="0" w:right="288"/>
              <w:jc w:val="right"/>
              <w:rPr>
                <w:lang w:val="en-GB"/>
              </w:rPr>
            </w:pPr>
            <w:r w:rsidRPr="00B9254C">
              <w:rPr>
                <w:lang w:val="en-GB"/>
              </w:rPr>
              <w:t>$1,019,006,100</w:t>
            </w:r>
          </w:p>
        </w:tc>
      </w:tr>
      <w:tr w:rsidR="00503BDD" w:rsidRPr="00203135" w14:paraId="5EB149FA" w14:textId="77777777" w:rsidTr="00A50FE7">
        <w:tc>
          <w:tcPr>
            <w:tcW w:w="7320" w:type="dxa"/>
            <w:gridSpan w:val="2"/>
            <w:tcBorders>
              <w:top w:val="nil"/>
              <w:left w:val="single" w:sz="4" w:space="0" w:color="auto"/>
              <w:bottom w:val="nil"/>
              <w:right w:val="single" w:sz="4" w:space="0" w:color="auto"/>
            </w:tcBorders>
            <w:hideMark/>
          </w:tcPr>
          <w:p w14:paraId="2FB77736" w14:textId="7777777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475"/>
              <w:rPr>
                <w:sz w:val="10"/>
                <w:lang w:val="en-GB"/>
              </w:rPr>
            </w:pPr>
          </w:p>
          <w:p w14:paraId="2C652989" w14:textId="7777777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475"/>
              <w:rPr>
                <w:sz w:val="10"/>
                <w:lang w:val="en-GB"/>
              </w:rPr>
            </w:pPr>
            <w:r w:rsidRPr="00B9254C">
              <w:rPr>
                <w:noProof/>
                <w:lang w:val="en-GB"/>
              </w:rPr>
              <mc:AlternateContent>
                <mc:Choice Requires="wps">
                  <w:drawing>
                    <wp:anchor distT="4294967295" distB="4294967295" distL="114300" distR="114300" simplePos="0" relativeHeight="251659264" behindDoc="0" locked="0" layoutInCell="1" allowOverlap="1" wp14:anchorId="4A7329A6" wp14:editId="3F119601">
                      <wp:simplePos x="0" y="0"/>
                      <wp:positionH relativeFrom="column">
                        <wp:posOffset>301625</wp:posOffset>
                      </wp:positionH>
                      <wp:positionV relativeFrom="paragraph">
                        <wp:posOffset>0</wp:posOffset>
                      </wp:positionV>
                      <wp:extent cx="914400" cy="0"/>
                      <wp:effectExtent l="0" t="0" r="0" b="0"/>
                      <wp:wrapNone/>
                      <wp:docPr id="777644799" name="Straight Connector 777644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19561" id="Straight Connector 77764479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7772673F" w14:textId="3D75C73E" w:rsidR="00503BDD" w:rsidRPr="00B9254C" w:rsidRDefault="00503BDD" w:rsidP="00A50FE7">
            <w:pPr>
              <w:pStyle w:val="SingleTxt"/>
              <w:tabs>
                <w:tab w:val="right" w:pos="630"/>
                <w:tab w:val="left" w:pos="720"/>
              </w:tabs>
              <w:spacing w:after="0" w:line="210" w:lineRule="exact"/>
              <w:ind w:left="720" w:right="475" w:hanging="533"/>
              <w:rPr>
                <w:sz w:val="17"/>
                <w:lang w:val="en-GB"/>
              </w:rPr>
            </w:pPr>
            <w:r w:rsidRPr="00B9254C">
              <w:rPr>
                <w:sz w:val="17"/>
                <w:lang w:val="en-GB"/>
              </w:rPr>
              <w:tab/>
            </w:r>
            <w:r w:rsidRPr="00B9254C">
              <w:rPr>
                <w:i/>
                <w:iCs/>
                <w:sz w:val="17"/>
                <w:vertAlign w:val="superscript"/>
                <w:lang w:val="en-GB"/>
              </w:rPr>
              <w:t>a</w:t>
            </w:r>
            <w:r w:rsidRPr="00B9254C">
              <w:rPr>
                <w:sz w:val="17"/>
                <w:lang w:val="en-GB"/>
              </w:rPr>
              <w:tab/>
            </w:r>
            <w:r w:rsidR="00D87DC9" w:rsidRPr="00B9254C">
              <w:rPr>
                <w:sz w:val="17"/>
                <w:lang w:val="en-GB"/>
              </w:rPr>
              <w:t>Estimates as at 28 February 2026.</w:t>
            </w:r>
          </w:p>
          <w:p w14:paraId="0AA7B401" w14:textId="438D5817" w:rsidR="00D87DC9" w:rsidRPr="00B9254C" w:rsidRDefault="00D87DC9" w:rsidP="00A50FE7">
            <w:pPr>
              <w:pStyle w:val="SingleTxt"/>
              <w:tabs>
                <w:tab w:val="right" w:pos="630"/>
                <w:tab w:val="left" w:pos="720"/>
              </w:tabs>
              <w:spacing w:after="0" w:line="210" w:lineRule="exact"/>
              <w:ind w:left="720" w:right="475" w:hanging="533"/>
              <w:rPr>
                <w:i/>
                <w:iCs/>
                <w:sz w:val="17"/>
                <w:vertAlign w:val="superscript"/>
                <w:lang w:val="en-GB"/>
              </w:rPr>
            </w:pPr>
            <w:r w:rsidRPr="00B9254C">
              <w:rPr>
                <w:sz w:val="17"/>
                <w:lang w:val="en-GB"/>
              </w:rPr>
              <w:tab/>
            </w:r>
            <w:r w:rsidRPr="00B9254C">
              <w:rPr>
                <w:i/>
                <w:iCs/>
                <w:sz w:val="17"/>
                <w:vertAlign w:val="superscript"/>
                <w:lang w:val="en-GB"/>
              </w:rPr>
              <w:t>b</w:t>
            </w:r>
            <w:r w:rsidRPr="00B9254C">
              <w:rPr>
                <w:i/>
                <w:iCs/>
                <w:sz w:val="17"/>
                <w:lang w:val="en-GB"/>
              </w:rPr>
              <w:tab/>
            </w:r>
            <w:r w:rsidRPr="00B9254C">
              <w:rPr>
                <w:sz w:val="17"/>
                <w:lang w:val="en-GB"/>
              </w:rPr>
              <w:t>Excludes one-time resource requirements to provide for termination entitlements payable to staff members.</w:t>
            </w:r>
          </w:p>
        </w:tc>
      </w:tr>
      <w:tr w:rsidR="00503BDD" w:rsidRPr="00203135" w14:paraId="289DD7F9" w14:textId="77777777" w:rsidTr="00A50FE7">
        <w:trPr>
          <w:trHeight w:hRule="exact" w:val="115"/>
        </w:trPr>
        <w:tc>
          <w:tcPr>
            <w:tcW w:w="7320" w:type="dxa"/>
            <w:gridSpan w:val="2"/>
            <w:tcBorders>
              <w:top w:val="nil"/>
              <w:left w:val="single" w:sz="4" w:space="0" w:color="auto"/>
              <w:bottom w:val="single" w:sz="4" w:space="0" w:color="auto"/>
              <w:right w:val="single" w:sz="4" w:space="0" w:color="auto"/>
            </w:tcBorders>
          </w:tcPr>
          <w:p w14:paraId="526FDDD3" w14:textId="77777777" w:rsidR="00503BDD" w:rsidRPr="00B9254C" w:rsidRDefault="00503BDD" w:rsidP="00A50FE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rPr>
                <w:lang w:val="en-GB"/>
              </w:rPr>
            </w:pPr>
          </w:p>
        </w:tc>
      </w:tr>
    </w:tbl>
    <w:p w14:paraId="13C9D461" w14:textId="77777777" w:rsidR="00D87DC9" w:rsidRPr="00B9254C" w:rsidRDefault="00D87DC9" w:rsidP="00D87DC9">
      <w:pPr>
        <w:pStyle w:val="SingleTxt"/>
        <w:rPr>
          <w:lang w:val="en-GB"/>
        </w:rPr>
      </w:pPr>
      <w:r w:rsidRPr="00B9254C">
        <w:rPr>
          <w:lang w:val="en-GB"/>
        </w:rPr>
        <w:br w:type="page"/>
      </w:r>
    </w:p>
    <w:p w14:paraId="40E54BE1" w14:textId="59212DD7" w:rsidR="00D87DC9" w:rsidRPr="00B9254C" w:rsidRDefault="00E90676" w:rsidP="00E9067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lastRenderedPageBreak/>
        <w:tab/>
      </w:r>
      <w:r w:rsidR="00D87DC9" w:rsidRPr="00B9254C">
        <w:rPr>
          <w:lang w:val="en-GB"/>
        </w:rPr>
        <w:t>I.</w:t>
      </w:r>
      <w:r w:rsidR="00D87DC9" w:rsidRPr="00B9254C">
        <w:rPr>
          <w:lang w:val="en-GB"/>
        </w:rPr>
        <w:tab/>
        <w:t>Introduction</w:t>
      </w:r>
    </w:p>
    <w:p w14:paraId="379CCAE2" w14:textId="77777777" w:rsidR="00D87DC9" w:rsidRPr="00B9254C" w:rsidRDefault="00D87DC9" w:rsidP="00E90676">
      <w:pPr>
        <w:pStyle w:val="SingleTxt"/>
        <w:spacing w:after="0" w:line="120" w:lineRule="exact"/>
        <w:rPr>
          <w:sz w:val="10"/>
          <w:lang w:val="en-GB"/>
        </w:rPr>
      </w:pPr>
    </w:p>
    <w:p w14:paraId="7829B202" w14:textId="77777777" w:rsidR="00E90676" w:rsidRPr="00B9254C" w:rsidRDefault="00E90676" w:rsidP="00E90676">
      <w:pPr>
        <w:pStyle w:val="SingleTxt"/>
        <w:spacing w:after="0" w:line="120" w:lineRule="exact"/>
        <w:rPr>
          <w:sz w:val="10"/>
          <w:lang w:val="en-GB"/>
        </w:rPr>
      </w:pPr>
    </w:p>
    <w:p w14:paraId="15201945" w14:textId="72066A89" w:rsidR="00D87DC9" w:rsidRPr="00B9254C" w:rsidRDefault="00D87DC9" w:rsidP="00D87DC9">
      <w:pPr>
        <w:pStyle w:val="SingleTxt"/>
        <w:rPr>
          <w:spacing w:val="2"/>
          <w:lang w:val="en-GB"/>
        </w:rPr>
      </w:pPr>
      <w:r w:rsidRPr="00B9254C">
        <w:rPr>
          <w:spacing w:val="2"/>
          <w:lang w:val="en-GB"/>
        </w:rPr>
        <w:t>1.</w:t>
      </w:r>
      <w:r w:rsidRPr="00B9254C">
        <w:rPr>
          <w:spacing w:val="2"/>
          <w:lang w:val="en-GB"/>
        </w:rPr>
        <w:tab/>
        <w:t>During its consideration of the report on the financing of the United Nations Multidimensional Integrated Stabilization Mission in the Central African Republic (MINUSCA) (</w:t>
      </w:r>
      <w:hyperlink r:id="rId20" w:history="1">
        <w:r w:rsidRPr="00B9254C">
          <w:rPr>
            <w:rStyle w:val="Hyperlink"/>
            <w:spacing w:val="2"/>
            <w:lang w:val="en-GB"/>
          </w:rPr>
          <w:t>A/80/623</w:t>
        </w:r>
      </w:hyperlink>
      <w:r w:rsidRPr="00B9254C">
        <w:rPr>
          <w:spacing w:val="2"/>
          <w:lang w:val="en-GB"/>
        </w:rPr>
        <w:t>) (advance version), the Advisory Committee on Administrative and Budgetary Questions met with representatives of the Secretary-General, who provided additional information and clarification, concluding with written responses received on 31 March 2026. The comments and recommendations of the Committee on cross-cutting issues related to peacekeeping operations are contained in its report (</w:t>
      </w:r>
      <w:hyperlink r:id="rId21" w:history="1">
        <w:r w:rsidRPr="00B9254C">
          <w:rPr>
            <w:rStyle w:val="Hyperlink"/>
            <w:spacing w:val="2"/>
            <w:lang w:val="en-GB"/>
          </w:rPr>
          <w:t>A/80/604</w:t>
        </w:r>
      </w:hyperlink>
      <w:r w:rsidRPr="00B9254C">
        <w:rPr>
          <w:spacing w:val="2"/>
          <w:lang w:val="en-GB"/>
        </w:rPr>
        <w:t>), while those pertaining to the findings and recommendations of the Board of Auditors on the United Nations peacekeeping operations for the period from 1 July 2024 to 30 June 2025 can be found in its related report (</w:t>
      </w:r>
      <w:hyperlink r:id="rId22" w:history="1">
        <w:r w:rsidRPr="00B9254C">
          <w:rPr>
            <w:rStyle w:val="Hyperlink"/>
            <w:spacing w:val="2"/>
            <w:lang w:val="en-GB"/>
          </w:rPr>
          <w:t>A/80/633</w:t>
        </w:r>
      </w:hyperlink>
      <w:r w:rsidRPr="00B9254C">
        <w:rPr>
          <w:spacing w:val="2"/>
          <w:lang w:val="en-GB"/>
        </w:rPr>
        <w:t>).</w:t>
      </w:r>
    </w:p>
    <w:p w14:paraId="0B762564" w14:textId="77777777" w:rsidR="00D87DC9" w:rsidRPr="00B9254C" w:rsidRDefault="00D87DC9" w:rsidP="00E90676">
      <w:pPr>
        <w:pStyle w:val="SingleTxt"/>
        <w:spacing w:after="0" w:line="120" w:lineRule="exact"/>
        <w:rPr>
          <w:sz w:val="10"/>
          <w:lang w:val="en-GB"/>
        </w:rPr>
      </w:pPr>
    </w:p>
    <w:p w14:paraId="793D8693" w14:textId="77777777" w:rsidR="00E90676" w:rsidRPr="00B9254C" w:rsidRDefault="00E90676" w:rsidP="00E90676">
      <w:pPr>
        <w:pStyle w:val="SingleTxt"/>
        <w:spacing w:after="0" w:line="120" w:lineRule="exact"/>
        <w:rPr>
          <w:sz w:val="10"/>
          <w:lang w:val="en-GB"/>
        </w:rPr>
      </w:pPr>
    </w:p>
    <w:p w14:paraId="4E851F14" w14:textId="1B331EA3" w:rsidR="00D87DC9" w:rsidRPr="00B9254C" w:rsidRDefault="00E90676" w:rsidP="00E9067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II.</w:t>
      </w:r>
      <w:r w:rsidR="00D87DC9" w:rsidRPr="00B9254C">
        <w:rPr>
          <w:lang w:val="en-GB"/>
        </w:rPr>
        <w:tab/>
        <w:t>Budget performance report for the period from 1 July 2024 to 30 June 2025</w:t>
      </w:r>
    </w:p>
    <w:p w14:paraId="6406337B" w14:textId="77777777" w:rsidR="00D87DC9" w:rsidRPr="00B9254C" w:rsidRDefault="00D87DC9" w:rsidP="00E90676">
      <w:pPr>
        <w:pStyle w:val="SingleTxt"/>
        <w:spacing w:after="0" w:line="120" w:lineRule="exact"/>
        <w:rPr>
          <w:sz w:val="10"/>
          <w:lang w:val="en-GB"/>
        </w:rPr>
      </w:pPr>
    </w:p>
    <w:p w14:paraId="61735DA0" w14:textId="77777777" w:rsidR="00E90676" w:rsidRPr="00B9254C" w:rsidRDefault="00E90676" w:rsidP="00E90676">
      <w:pPr>
        <w:pStyle w:val="SingleTxt"/>
        <w:spacing w:after="0" w:line="120" w:lineRule="exact"/>
        <w:rPr>
          <w:sz w:val="10"/>
          <w:lang w:val="en-GB"/>
        </w:rPr>
      </w:pPr>
    </w:p>
    <w:p w14:paraId="46569AF6" w14:textId="4984897A" w:rsidR="00D87DC9" w:rsidRPr="00B9254C" w:rsidRDefault="00D87DC9" w:rsidP="00A50FE7">
      <w:pPr>
        <w:pStyle w:val="SingleTxt"/>
        <w:spacing w:line="238" w:lineRule="exact"/>
        <w:rPr>
          <w:lang w:val="en-GB"/>
        </w:rPr>
      </w:pPr>
      <w:r w:rsidRPr="00B9254C">
        <w:rPr>
          <w:lang w:val="en-GB"/>
        </w:rPr>
        <w:t>2.</w:t>
      </w:r>
      <w:r w:rsidRPr="00B9254C">
        <w:rPr>
          <w:lang w:val="en-GB"/>
        </w:rPr>
        <w:tab/>
        <w:t xml:space="preserve">By its resolution </w:t>
      </w:r>
      <w:hyperlink r:id="rId23" w:history="1">
        <w:r w:rsidRPr="00B9254C">
          <w:rPr>
            <w:rStyle w:val="Hyperlink"/>
            <w:lang w:val="en-GB"/>
          </w:rPr>
          <w:t>78/298</w:t>
        </w:r>
      </w:hyperlink>
      <w:r w:rsidRPr="00B9254C">
        <w:rPr>
          <w:lang w:val="en-GB"/>
        </w:rPr>
        <w:t>, the General Assembly appropriated an amount of $1,171,619,700 gross ($1,153,382,200 net) for the maintenance of MINUSCA for the period from 1 July 2024 to 30 June 2025. The allotment issued to MINUSCA for the 2024/25 period amounted to $1,147,458,600 (97.9 per cent of the appropriation). Expenditure for the period totalled $1,146,269,100 gross ($1,126,084,500 net), reflecting a resource utilization rate of 97.8 per cent, with higher-than-budgeted expenditure under civilian personnel ($14,219,900, or 6.0 per cent), and lower requirements under military and police personnel ($14,460,500, or 2.2 per cent) and under operational costs ($25,110,000, or 8.6 per cent).</w:t>
      </w:r>
    </w:p>
    <w:p w14:paraId="6B8698DD" w14:textId="07094908" w:rsidR="00D87DC9" w:rsidRPr="00B9254C" w:rsidRDefault="00D87DC9" w:rsidP="00A50FE7">
      <w:pPr>
        <w:pStyle w:val="SingleTxt"/>
        <w:spacing w:line="238" w:lineRule="exact"/>
        <w:rPr>
          <w:spacing w:val="3"/>
          <w:w w:val="102"/>
          <w:lang w:val="en-GB"/>
        </w:rPr>
      </w:pPr>
      <w:r w:rsidRPr="00B9254C">
        <w:rPr>
          <w:spacing w:val="3"/>
          <w:w w:val="102"/>
          <w:lang w:val="en-GB"/>
        </w:rPr>
        <w:t>3.</w:t>
      </w:r>
      <w:r w:rsidRPr="00B9254C">
        <w:rPr>
          <w:spacing w:val="3"/>
          <w:w w:val="102"/>
          <w:lang w:val="en-GB"/>
        </w:rPr>
        <w:tab/>
        <w:t xml:space="preserve">The Advisory Committee was informed that redeployments in the amount of $14,219,900 to group II (civilian personnel) were attributable primarily to lower actual average vacancy rates for civilian staff, higher actual common staff costs and the increased salary scale for national staff. </w:t>
      </w:r>
      <w:r w:rsidRPr="00B9254C">
        <w:rPr>
          <w:b/>
          <w:bCs/>
          <w:spacing w:val="3"/>
          <w:w w:val="102"/>
          <w:lang w:val="en-GB"/>
        </w:rPr>
        <w:t>The Advisory Committee trusts that detailed information on redeployments will be provided to the General Assembly at the time of its consideration of the present report, in particular on activities curtailed and other lower-than-budgeted expenditures that allowed for resources to be redeployed, as well as the criteria used by MINUSCA to reprioritize resources.</w:t>
      </w:r>
    </w:p>
    <w:p w14:paraId="0692E73A" w14:textId="798ED126" w:rsidR="00D87DC9" w:rsidRPr="00B9254C" w:rsidRDefault="00D87DC9" w:rsidP="00A50FE7">
      <w:pPr>
        <w:pStyle w:val="SingleTxt"/>
        <w:spacing w:line="238" w:lineRule="exact"/>
        <w:rPr>
          <w:lang w:val="en-GB"/>
        </w:rPr>
      </w:pPr>
      <w:r w:rsidRPr="00B9254C">
        <w:rPr>
          <w:lang w:val="en-GB"/>
        </w:rPr>
        <w:t>4.</w:t>
      </w:r>
      <w:r w:rsidRPr="00B9254C">
        <w:rPr>
          <w:lang w:val="en-GB"/>
        </w:rPr>
        <w:tab/>
        <w:t>The Advisory Committee notes from information provided to it that unliquidated obligations amounted to $129,918,200 (or 11.1 per cent of the total appropriation) as at 30 June 2025 for the 2024/25 period, representing a decrease of $73,405,300 (or 36.1 per cent) compared with $203,323,500 as at 30 June 2024 for the 2023/24 period. Upon enquiry, the Committee was informed that, as at 31 January 2026, unliquidated obligations had decreased to $25,537,600 (or 2.2 per cent of the total appropriation) for the 2024/25 period, comprising military and police personnel ($1,946,400), civilian personnel ($106,600) and operational costs ($23,484,600).</w:t>
      </w:r>
    </w:p>
    <w:p w14:paraId="00B09B92" w14:textId="5062CE3D" w:rsidR="00D87DC9" w:rsidRPr="00B9254C" w:rsidRDefault="00D87DC9" w:rsidP="00A50FE7">
      <w:pPr>
        <w:pStyle w:val="SingleTxt"/>
        <w:spacing w:line="238" w:lineRule="exact"/>
        <w:rPr>
          <w:lang w:val="en-GB"/>
        </w:rPr>
      </w:pPr>
      <w:r w:rsidRPr="00B9254C">
        <w:rPr>
          <w:lang w:val="en-GB"/>
        </w:rPr>
        <w:t>5.</w:t>
      </w:r>
      <w:r w:rsidRPr="00B9254C">
        <w:rPr>
          <w:lang w:val="en-GB"/>
        </w:rPr>
        <w:tab/>
        <w:t>The unencumbered balance, in gross terms, amounts to $25,350,600, or 2.2 per cent, of the overall level of resources approved for the financial period. A detailed analysis of variances is provided in section II.F of the report of the Secretary-General. Other revenues and adjustments for the period amount to $21,749,200, comprising: (a) investment revenue ($11,502,200); (b) other/miscellaneous revenue ($811,500) ($243,500 refund of prior-period expenses and $568,000 other revenue); and (c) the cancellation of prior-period obligations ($9,435,500).</w:t>
      </w:r>
    </w:p>
    <w:p w14:paraId="28964996" w14:textId="5F86C5E5" w:rsidR="00D87DC9" w:rsidRPr="00B9254C" w:rsidRDefault="00D87DC9" w:rsidP="00A50FE7">
      <w:pPr>
        <w:pStyle w:val="SingleTxt"/>
        <w:spacing w:line="238" w:lineRule="exact"/>
        <w:rPr>
          <w:lang w:val="en-GB"/>
        </w:rPr>
      </w:pPr>
      <w:r w:rsidRPr="00B9254C">
        <w:rPr>
          <w:lang w:val="en-GB"/>
        </w:rPr>
        <w:t>6.</w:t>
      </w:r>
      <w:r w:rsidRPr="00B9254C">
        <w:rPr>
          <w:lang w:val="en-GB"/>
        </w:rPr>
        <w:tab/>
        <w:t xml:space="preserve">The Advisory Committee notes that cancellation of prior-period obligations for 2024/25 in the amount of $9,435,500 represents a decrease of $4,501,900, or 32.3 per cent, compared to cancellation of prior-period obligations for the 2023/24 period of $13,937,400. However, the Committee also notes that the cancellation for group III </w:t>
      </w:r>
      <w:r w:rsidRPr="00B9254C">
        <w:rPr>
          <w:lang w:val="en-GB"/>
        </w:rPr>
        <w:lastRenderedPageBreak/>
        <w:t>for the 2024/25 period amounted to 6,470,800, an increase of $1,138,700, or 21.4 per cent, compared to the amount of $5,332,100 for 2023/24.</w:t>
      </w:r>
    </w:p>
    <w:p w14:paraId="2891DA1F" w14:textId="77777777" w:rsidR="00D87DC9" w:rsidRPr="00B9254C" w:rsidRDefault="00D87DC9" w:rsidP="00D87DC9">
      <w:pPr>
        <w:pStyle w:val="SingleTxt"/>
        <w:rPr>
          <w:spacing w:val="2"/>
          <w:lang w:val="en-GB"/>
        </w:rPr>
      </w:pPr>
      <w:r w:rsidRPr="00B9254C">
        <w:rPr>
          <w:spacing w:val="2"/>
          <w:lang w:val="en-GB"/>
        </w:rPr>
        <w:t>7.</w:t>
      </w:r>
      <w:r w:rsidRPr="00B9254C">
        <w:rPr>
          <w:spacing w:val="2"/>
          <w:lang w:val="en-GB"/>
        </w:rPr>
        <w:tab/>
        <w:t>The Advisory Committee notes that the report of the Secretary-General, in paragraphs 71 and 128, indicates that credits comprising the unencumbered balances ($25,350,600) and other revenue and adjustments ($21,749,200) are proposed to be placed into a reserve that would be used in the event that collections are insufficient to enable the full, efficient and effective implementation of mandates (see para. 65 below).</w:t>
      </w:r>
    </w:p>
    <w:p w14:paraId="7E699230" w14:textId="0ECE6872" w:rsidR="00D87DC9" w:rsidRPr="00B9254C" w:rsidRDefault="00D87DC9" w:rsidP="00A50FE7">
      <w:pPr>
        <w:pStyle w:val="SingleTxt"/>
        <w:spacing w:after="0" w:line="120" w:lineRule="exact"/>
        <w:rPr>
          <w:sz w:val="10"/>
          <w:lang w:val="en-GB"/>
        </w:rPr>
      </w:pPr>
    </w:p>
    <w:p w14:paraId="331A4977" w14:textId="2AEE78E2" w:rsidR="00D87DC9" w:rsidRPr="00B9254C" w:rsidRDefault="00A50FE7" w:rsidP="00A50FE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Matters pertaining to the report of the Board of Auditors</w:t>
      </w:r>
    </w:p>
    <w:p w14:paraId="12812C6E" w14:textId="77777777" w:rsidR="00D87DC9" w:rsidRPr="00B9254C" w:rsidRDefault="00D87DC9" w:rsidP="00A50FE7">
      <w:pPr>
        <w:pStyle w:val="SingleTxt"/>
        <w:spacing w:after="0" w:line="120" w:lineRule="exact"/>
        <w:rPr>
          <w:sz w:val="10"/>
          <w:lang w:val="en-GB"/>
        </w:rPr>
      </w:pPr>
    </w:p>
    <w:p w14:paraId="00923568" w14:textId="5EAB55AB" w:rsidR="00D87DC9" w:rsidRPr="00B9254C" w:rsidRDefault="00D87DC9" w:rsidP="00D87DC9">
      <w:pPr>
        <w:pStyle w:val="SingleTxt"/>
        <w:rPr>
          <w:spacing w:val="2"/>
          <w:w w:val="102"/>
          <w:lang w:val="en-GB"/>
        </w:rPr>
      </w:pPr>
      <w:r w:rsidRPr="00B9254C">
        <w:rPr>
          <w:spacing w:val="2"/>
          <w:w w:val="102"/>
          <w:lang w:val="en-GB"/>
        </w:rPr>
        <w:t>8.</w:t>
      </w:r>
      <w:r w:rsidRPr="00B9254C">
        <w:rPr>
          <w:spacing w:val="2"/>
          <w:w w:val="102"/>
          <w:lang w:val="en-GB"/>
        </w:rPr>
        <w:tab/>
        <w:t>The Advisory Committee also had before it the advance version of the report of the Board of Auditors on the accounts of the United Nations peacekeeping operations for the financial period ended 30 June 2025 (</w:t>
      </w:r>
      <w:hyperlink r:id="rId24" w:history="1">
        <w:r w:rsidRPr="00B9254C">
          <w:rPr>
            <w:rStyle w:val="Hyperlink"/>
            <w:spacing w:val="2"/>
            <w:w w:val="102"/>
            <w:lang w:val="en-GB"/>
          </w:rPr>
          <w:t>A/80/5 (Vol. II)</w:t>
        </w:r>
      </w:hyperlink>
      <w:r w:rsidRPr="00B9254C">
        <w:rPr>
          <w:spacing w:val="2"/>
          <w:w w:val="102"/>
          <w:lang w:val="en-GB"/>
        </w:rPr>
        <w:t xml:space="preserve">). Regarding MINUSCA, the Board reviewed, inter alia, the impact of liquidity constraints on mandate delivery, asset management, fuel management, transfer of assets received from MINUSMA, project monitoring and evaluation, and disarmament, demobilization and reintegration processes, which are described under the relevant headings in the report of the Board, and below, as appropriate. </w:t>
      </w:r>
      <w:r w:rsidRPr="00B9254C">
        <w:rPr>
          <w:b/>
          <w:bCs/>
          <w:spacing w:val="2"/>
          <w:w w:val="102"/>
          <w:lang w:val="en-GB"/>
        </w:rPr>
        <w:t>The Advisory Committee trusts that the recommendations of the Board of Auditors will be implemented in a timely manner.</w:t>
      </w:r>
    </w:p>
    <w:p w14:paraId="0417882A" w14:textId="77777777" w:rsidR="00D87DC9" w:rsidRPr="00B9254C" w:rsidRDefault="00D87DC9" w:rsidP="00E90676">
      <w:pPr>
        <w:pStyle w:val="SingleTxt"/>
        <w:spacing w:after="0" w:line="120" w:lineRule="exact"/>
        <w:rPr>
          <w:sz w:val="10"/>
          <w:lang w:val="en-GB"/>
        </w:rPr>
      </w:pPr>
    </w:p>
    <w:p w14:paraId="2D262031" w14:textId="77777777" w:rsidR="00E90676" w:rsidRPr="00B9254C" w:rsidRDefault="00E90676" w:rsidP="00E90676">
      <w:pPr>
        <w:pStyle w:val="SingleTxt"/>
        <w:spacing w:after="0" w:line="120" w:lineRule="exact"/>
        <w:rPr>
          <w:sz w:val="10"/>
          <w:lang w:val="en-GB"/>
        </w:rPr>
      </w:pPr>
    </w:p>
    <w:p w14:paraId="15CF5B46" w14:textId="716BDDA0" w:rsidR="00D87DC9" w:rsidRPr="00B9254C" w:rsidRDefault="00E90676" w:rsidP="00E9067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III.</w:t>
      </w:r>
      <w:r w:rsidR="00D87DC9" w:rsidRPr="00B9254C">
        <w:rPr>
          <w:lang w:val="en-GB"/>
        </w:rPr>
        <w:tab/>
        <w:t>Information on performance for the current period</w:t>
      </w:r>
    </w:p>
    <w:p w14:paraId="4EED4B40" w14:textId="77777777" w:rsidR="00D87DC9" w:rsidRPr="00B9254C" w:rsidRDefault="00D87DC9" w:rsidP="00E90676">
      <w:pPr>
        <w:pStyle w:val="SingleTxt"/>
        <w:spacing w:after="0" w:line="120" w:lineRule="exact"/>
        <w:rPr>
          <w:sz w:val="10"/>
          <w:lang w:val="en-GB"/>
        </w:rPr>
      </w:pPr>
    </w:p>
    <w:p w14:paraId="3B16FD6C" w14:textId="77777777" w:rsidR="00E90676" w:rsidRPr="00B9254C" w:rsidRDefault="00E90676" w:rsidP="00E90676">
      <w:pPr>
        <w:pStyle w:val="SingleTxt"/>
        <w:spacing w:after="0" w:line="120" w:lineRule="exact"/>
        <w:rPr>
          <w:sz w:val="10"/>
          <w:lang w:val="en-GB"/>
        </w:rPr>
      </w:pPr>
    </w:p>
    <w:p w14:paraId="682973DB" w14:textId="56DC3BD4" w:rsidR="00D87DC9" w:rsidRPr="00B9254C" w:rsidRDefault="00D87DC9" w:rsidP="00E90676">
      <w:pPr>
        <w:pStyle w:val="SingleTxt"/>
        <w:rPr>
          <w:lang w:val="en-GB"/>
        </w:rPr>
      </w:pPr>
      <w:r w:rsidRPr="00B9254C">
        <w:rPr>
          <w:lang w:val="en-GB"/>
        </w:rPr>
        <w:t>9.</w:t>
      </w:r>
      <w:r w:rsidRPr="00B9254C">
        <w:rPr>
          <w:lang w:val="en-GB"/>
        </w:rPr>
        <w:tab/>
        <w:t xml:space="preserve">With respect to current and projected expenditure for the period from 1 July 2025 to 30 June 2026, the Advisory Committee was informed that, as at 28 February 2026, expenditure amounted to $663,192,900. At the end of the current financial period, estimated total expenditure would amount to $997,763,300, resulting in an </w:t>
      </w:r>
      <w:r w:rsidRPr="00B9254C">
        <w:rPr>
          <w:spacing w:val="2"/>
          <w:lang w:val="en-GB"/>
        </w:rPr>
        <w:t>unencumbered balance amounting to $176,368,700,</w:t>
      </w:r>
      <w:r w:rsidR="00A50FE7" w:rsidRPr="00B9254C">
        <w:rPr>
          <w:rStyle w:val="FootnoteReference"/>
          <w:spacing w:val="2"/>
          <w:lang w:val="en-GB"/>
        </w:rPr>
        <w:footnoteReference w:id="1"/>
      </w:r>
      <w:r w:rsidRPr="00B9254C">
        <w:rPr>
          <w:spacing w:val="2"/>
          <w:lang w:val="en-GB"/>
        </w:rPr>
        <w:t xml:space="preserve"> representing a resource utilization</w:t>
      </w:r>
      <w:r w:rsidRPr="00B9254C">
        <w:rPr>
          <w:lang w:val="en-GB"/>
        </w:rPr>
        <w:t xml:space="preserve"> rate of 85 per cent.</w:t>
      </w:r>
    </w:p>
    <w:p w14:paraId="7547A4FE" w14:textId="12279736" w:rsidR="00D87DC9" w:rsidRPr="00B9254C" w:rsidRDefault="00D87DC9" w:rsidP="00E90676">
      <w:pPr>
        <w:pStyle w:val="SingleTxt"/>
        <w:rPr>
          <w:lang w:val="en-GB"/>
        </w:rPr>
      </w:pPr>
      <w:r w:rsidRPr="00B9254C">
        <w:rPr>
          <w:lang w:val="en-GB"/>
        </w:rPr>
        <w:t>10.</w:t>
      </w:r>
      <w:r w:rsidRPr="00B9254C">
        <w:rPr>
          <w:lang w:val="en-GB"/>
        </w:rPr>
        <w:tab/>
        <w:t xml:space="preserve">The Advisory Committee was informed that contingency planning necessitated the prioritization of core tasks and temporary adjustments to troop and personnel deployments. While these measures had enabled MINUSCA to continue delivering essential mandated tasks and the multidimensional electoral support in line with its mandate, the implementation of some planned activities, such as mine action, security sector reform, judicial support and infrastructure projects, experienced delays or reduced coverage. Furthermore, the surge capacity of MINUSCA has been affected by the reduction in the uniformed personnel footprint implemented over the past six months, which has resulted in a reduction in immediately deployable reserve capacity. The Committee was informed that MINUSCA has applied the Organization-wide guidance to defer or suspend construction activities except where operationally critical or required for reconfiguration, environmental compliance or safety obligations, and has suspended non-essential projects. </w:t>
      </w:r>
      <w:r w:rsidRPr="00B9254C">
        <w:rPr>
          <w:b/>
          <w:bCs/>
          <w:lang w:val="en-GB"/>
        </w:rPr>
        <w:t>The Advisory Committee notes that, while MINUSCA has been able to continue delivering essential mandated tasks and the multidimensional electoral support, the implementation of some planned activities experienced delays or reduced coverage and the surge capacity has been affected. The Committee trusts that all efforts will be undertaken to ensure the security and safety of personnel. The Committee also trusts that an update and a more detailed assessment on the impact of the contingency plan on the implementation of the mandate of MINUSCA will be provided to the General Assembly at the time of its consideration of the report and in the next performance report.</w:t>
      </w:r>
    </w:p>
    <w:p w14:paraId="65CD1496" w14:textId="4757E637" w:rsidR="00D87DC9" w:rsidRPr="00B9254C" w:rsidRDefault="00D87DC9" w:rsidP="00E90676">
      <w:pPr>
        <w:pStyle w:val="SingleTxt"/>
        <w:rPr>
          <w:lang w:val="en-GB"/>
        </w:rPr>
      </w:pPr>
      <w:r w:rsidRPr="00B9254C">
        <w:rPr>
          <w:lang w:val="en-GB"/>
        </w:rPr>
        <w:t>11.</w:t>
      </w:r>
      <w:r w:rsidRPr="00B9254C">
        <w:rPr>
          <w:lang w:val="en-GB"/>
        </w:rPr>
        <w:tab/>
        <w:t xml:space="preserve">The Advisory Committee was also informed that, as at 2 February 2026, a total of $12,379,651,600 had been assessed on Member States in respect of MINUSCA since its inception. Payments received as at the same date amounted to $11,663,445,700, leaving an outstanding balance of $716,205,900. As at 2 March 2026, the cash available to the Mission was $213,279,904, which was sufficient to cover the three-month operating reserve of $177,853,250 (excluding reimbursements to troop- and police-contributing countries). </w:t>
      </w:r>
    </w:p>
    <w:p w14:paraId="079BAA3E" w14:textId="77777777" w:rsidR="00D87DC9" w:rsidRPr="00B9254C" w:rsidRDefault="00D87DC9" w:rsidP="00D87DC9">
      <w:pPr>
        <w:pStyle w:val="SingleTxt"/>
        <w:rPr>
          <w:lang w:val="en-GB"/>
        </w:rPr>
      </w:pPr>
      <w:r w:rsidRPr="00B9254C">
        <w:rPr>
          <w:lang w:val="en-GB"/>
        </w:rPr>
        <w:t>12.</w:t>
      </w:r>
      <w:r w:rsidRPr="00B9254C">
        <w:rPr>
          <w:lang w:val="en-GB"/>
        </w:rPr>
        <w:tab/>
        <w:t xml:space="preserve">The Advisory Committee was informed that, as at 2 March 2026, the outstanding balance for contingent-owned equipment amounted to $93,814,465. The Committee was also informed that, as at 2 February 2026, an amount of $10,813,400 had been paid to settle 271 death and disability claims since the inception of MINUSCA and that 3 claims were pending. </w:t>
      </w:r>
      <w:r w:rsidRPr="00B9254C">
        <w:rPr>
          <w:b/>
          <w:bCs/>
          <w:lang w:val="en-GB"/>
        </w:rPr>
        <w:t>The Advisory Committee trusts that all outstanding liabilities and claims will be settled in a timely manner.</w:t>
      </w:r>
      <w:r w:rsidRPr="00B9254C">
        <w:rPr>
          <w:lang w:val="en-GB"/>
        </w:rPr>
        <w:t xml:space="preserve"> </w:t>
      </w:r>
    </w:p>
    <w:p w14:paraId="79DEC7A3" w14:textId="77777777" w:rsidR="00D87DC9" w:rsidRPr="00B9254C" w:rsidRDefault="00D87DC9" w:rsidP="00E90676">
      <w:pPr>
        <w:pStyle w:val="SingleTxt"/>
        <w:spacing w:after="0" w:line="120" w:lineRule="exact"/>
        <w:rPr>
          <w:sz w:val="10"/>
          <w:lang w:val="en-GB"/>
        </w:rPr>
      </w:pPr>
    </w:p>
    <w:p w14:paraId="3370CA7B" w14:textId="77777777" w:rsidR="00E90676" w:rsidRPr="00B9254C" w:rsidRDefault="00E90676" w:rsidP="00E90676">
      <w:pPr>
        <w:pStyle w:val="SingleTxt"/>
        <w:spacing w:after="0" w:line="120" w:lineRule="exact"/>
        <w:rPr>
          <w:sz w:val="10"/>
          <w:lang w:val="en-GB"/>
        </w:rPr>
      </w:pPr>
    </w:p>
    <w:p w14:paraId="729DC47A" w14:textId="487D78E7" w:rsidR="00D87DC9" w:rsidRPr="00B9254C" w:rsidRDefault="00E90676" w:rsidP="00A50FE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80" w:hanging="1267"/>
        <w:rPr>
          <w:lang w:val="en-GB"/>
        </w:rPr>
      </w:pPr>
      <w:r w:rsidRPr="00B9254C">
        <w:rPr>
          <w:lang w:val="en-GB"/>
        </w:rPr>
        <w:tab/>
      </w:r>
      <w:r w:rsidR="00D87DC9" w:rsidRPr="00B9254C">
        <w:rPr>
          <w:lang w:val="en-GB"/>
        </w:rPr>
        <w:t>IV.</w:t>
      </w:r>
      <w:r w:rsidR="00D87DC9" w:rsidRPr="00B9254C">
        <w:rPr>
          <w:lang w:val="en-GB"/>
        </w:rPr>
        <w:tab/>
        <w:t>Proposed budget for the period from 1 July 2026 to 30 June 2027</w:t>
      </w:r>
    </w:p>
    <w:p w14:paraId="29877DB9" w14:textId="77777777" w:rsidR="00D87DC9" w:rsidRPr="00B9254C" w:rsidRDefault="00D87DC9" w:rsidP="00E90676">
      <w:pPr>
        <w:pStyle w:val="SingleTxt"/>
        <w:spacing w:after="0" w:line="120" w:lineRule="exact"/>
        <w:rPr>
          <w:sz w:val="10"/>
          <w:lang w:val="en-GB"/>
        </w:rPr>
      </w:pPr>
    </w:p>
    <w:p w14:paraId="2728DC25" w14:textId="77777777" w:rsidR="00E90676" w:rsidRPr="00B9254C" w:rsidRDefault="00E90676" w:rsidP="00E90676">
      <w:pPr>
        <w:pStyle w:val="SingleTxt"/>
        <w:spacing w:after="0" w:line="120" w:lineRule="exact"/>
        <w:rPr>
          <w:sz w:val="10"/>
          <w:lang w:val="en-GB"/>
        </w:rPr>
      </w:pPr>
    </w:p>
    <w:p w14:paraId="4DEEF05B" w14:textId="776EE386" w:rsidR="00D87DC9" w:rsidRPr="00B9254C" w:rsidRDefault="00E90676" w:rsidP="00E90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A.</w:t>
      </w:r>
      <w:r w:rsidR="00D87DC9" w:rsidRPr="00B9254C">
        <w:rPr>
          <w:lang w:val="en-GB"/>
        </w:rPr>
        <w:tab/>
        <w:t>Mandate and planning assumptions</w:t>
      </w:r>
    </w:p>
    <w:p w14:paraId="6287BE34" w14:textId="77777777" w:rsidR="00D87DC9" w:rsidRPr="00B9254C" w:rsidRDefault="00D87DC9" w:rsidP="00E90676">
      <w:pPr>
        <w:pStyle w:val="SingleTxt"/>
        <w:spacing w:after="0" w:line="120" w:lineRule="exact"/>
        <w:rPr>
          <w:sz w:val="10"/>
          <w:lang w:val="en-GB"/>
        </w:rPr>
      </w:pPr>
    </w:p>
    <w:p w14:paraId="2A01F528" w14:textId="77777777" w:rsidR="00E90676" w:rsidRPr="00B9254C" w:rsidRDefault="00E90676" w:rsidP="00E90676">
      <w:pPr>
        <w:pStyle w:val="SingleTxt"/>
        <w:spacing w:after="0" w:line="120" w:lineRule="exact"/>
        <w:rPr>
          <w:sz w:val="10"/>
          <w:lang w:val="en-GB"/>
        </w:rPr>
      </w:pPr>
    </w:p>
    <w:p w14:paraId="0C98C75B" w14:textId="782802A6" w:rsidR="00D87DC9" w:rsidRPr="00B9254C" w:rsidRDefault="00D87DC9" w:rsidP="00D87DC9">
      <w:pPr>
        <w:pStyle w:val="SingleTxt"/>
        <w:rPr>
          <w:spacing w:val="3"/>
          <w:w w:val="102"/>
          <w:lang w:val="en-GB"/>
        </w:rPr>
      </w:pPr>
      <w:r w:rsidRPr="00B9254C">
        <w:rPr>
          <w:spacing w:val="3"/>
          <w:w w:val="102"/>
          <w:lang w:val="en-GB"/>
        </w:rPr>
        <w:t>13.</w:t>
      </w:r>
      <w:r w:rsidRPr="00B9254C">
        <w:rPr>
          <w:spacing w:val="3"/>
          <w:w w:val="102"/>
          <w:lang w:val="en-GB"/>
        </w:rPr>
        <w:tab/>
        <w:t xml:space="preserve">MINUSCA was established by the Security Council in its resolution </w:t>
      </w:r>
      <w:hyperlink r:id="rId25" w:history="1">
        <w:r w:rsidRPr="00B9254C">
          <w:rPr>
            <w:rStyle w:val="Hyperlink"/>
            <w:spacing w:val="3"/>
            <w:w w:val="102"/>
            <w:lang w:val="en-GB"/>
          </w:rPr>
          <w:t>2149 (2014)</w:t>
        </w:r>
      </w:hyperlink>
      <w:r w:rsidRPr="00B9254C">
        <w:rPr>
          <w:spacing w:val="3"/>
          <w:w w:val="102"/>
          <w:lang w:val="en-GB"/>
        </w:rPr>
        <w:t xml:space="preserve">, and its mandate was most recently extended until 15 November 2026 in Council resolution </w:t>
      </w:r>
      <w:hyperlink r:id="rId26" w:history="1">
        <w:r w:rsidRPr="00B9254C">
          <w:rPr>
            <w:rStyle w:val="Hyperlink"/>
            <w:spacing w:val="3"/>
            <w:w w:val="102"/>
            <w:lang w:val="en-GB"/>
          </w:rPr>
          <w:t>2800 (2025)</w:t>
        </w:r>
      </w:hyperlink>
      <w:r w:rsidRPr="00B9254C">
        <w:rPr>
          <w:spacing w:val="3"/>
          <w:w w:val="102"/>
          <w:lang w:val="en-GB"/>
        </w:rPr>
        <w:t>. The planning assumptions and mission support initiatives of MINUSCA for the 2026/27 period are summarized in section I.C of the report of the Secretary-General (</w:t>
      </w:r>
      <w:hyperlink r:id="rId27" w:history="1">
        <w:r w:rsidRPr="00B9254C">
          <w:rPr>
            <w:rStyle w:val="Hyperlink"/>
            <w:spacing w:val="3"/>
            <w:w w:val="102"/>
            <w:lang w:val="en-GB"/>
          </w:rPr>
          <w:t>A/80/623</w:t>
        </w:r>
      </w:hyperlink>
      <w:r w:rsidRPr="00B9254C">
        <w:rPr>
          <w:spacing w:val="3"/>
          <w:w w:val="102"/>
          <w:lang w:val="en-GB"/>
        </w:rPr>
        <w:t>). During 2025/26, the Mission supported preparations for the electoral process and facilitated the implementation of an agreement signed on 19</w:t>
      </w:r>
      <w:r w:rsidR="00697ECA" w:rsidRPr="00B9254C">
        <w:rPr>
          <w:spacing w:val="3"/>
          <w:w w:val="102"/>
          <w:lang w:val="en-GB"/>
        </w:rPr>
        <w:t> </w:t>
      </w:r>
      <w:r w:rsidRPr="00B9254C">
        <w:rPr>
          <w:spacing w:val="3"/>
          <w:w w:val="102"/>
          <w:lang w:val="en-GB"/>
        </w:rPr>
        <w:t>April 2025 with two major armed groups, enabling progress in disarmament and demobilization and contributing to the revitalization of the Political Agreement for Peace and Reconciliation in the Central African Republic. The successful conduct of the combined presidential, legislative, regional and municipal elections on 28</w:t>
      </w:r>
      <w:r w:rsidR="00697ECA" w:rsidRPr="00B9254C">
        <w:rPr>
          <w:spacing w:val="3"/>
          <w:w w:val="102"/>
          <w:lang w:val="en-GB"/>
        </w:rPr>
        <w:t> </w:t>
      </w:r>
      <w:r w:rsidRPr="00B9254C">
        <w:rPr>
          <w:spacing w:val="3"/>
          <w:w w:val="102"/>
          <w:lang w:val="en-GB"/>
        </w:rPr>
        <w:t xml:space="preserve">December 2025 marked a significant milestone for the Central African Republic and provides an opportunity for MINUSCA to adjust its footprint and posture in line with its mandate under Council resolution </w:t>
      </w:r>
      <w:hyperlink r:id="rId28" w:history="1">
        <w:r w:rsidRPr="00B9254C">
          <w:rPr>
            <w:rStyle w:val="Hyperlink"/>
            <w:spacing w:val="3"/>
            <w:w w:val="102"/>
            <w:lang w:val="en-GB"/>
          </w:rPr>
          <w:t>2800 (2025)</w:t>
        </w:r>
      </w:hyperlink>
      <w:r w:rsidRPr="00B9254C">
        <w:rPr>
          <w:spacing w:val="3"/>
          <w:w w:val="102"/>
          <w:lang w:val="en-GB"/>
        </w:rPr>
        <w:t xml:space="preserve">. Consistent with the Mission’s plans to expeditiously sunset the electoral division, MINUSCA has completed the withdrawal of all elections-related resources. In light of the post-election context, and in preparing for the implementation of the mandate of MINUSCA during the 2026/27 period, the Mission is initiating a phase of consolidation, reconfiguration and internal strategic review, in line with paragraph 48 of Council resolution </w:t>
      </w:r>
      <w:hyperlink r:id="rId29" w:history="1">
        <w:r w:rsidRPr="00B9254C">
          <w:rPr>
            <w:rStyle w:val="Hyperlink"/>
            <w:spacing w:val="3"/>
            <w:w w:val="102"/>
            <w:lang w:val="en-GB"/>
          </w:rPr>
          <w:t>2800 (2025)</w:t>
        </w:r>
      </w:hyperlink>
      <w:r w:rsidRPr="00B9254C">
        <w:rPr>
          <w:spacing w:val="3"/>
          <w:w w:val="102"/>
          <w:lang w:val="en-GB"/>
        </w:rPr>
        <w:t xml:space="preserve">. </w:t>
      </w:r>
    </w:p>
    <w:p w14:paraId="5C24A834" w14:textId="77777777" w:rsidR="00D87DC9" w:rsidRPr="00B9254C" w:rsidRDefault="00D87DC9" w:rsidP="00A50FE7">
      <w:pPr>
        <w:pStyle w:val="SingleTxt"/>
        <w:spacing w:after="0" w:line="120" w:lineRule="exact"/>
        <w:rPr>
          <w:sz w:val="10"/>
          <w:lang w:val="en-GB"/>
        </w:rPr>
      </w:pPr>
    </w:p>
    <w:p w14:paraId="0555AAEF" w14:textId="5661ADC5" w:rsidR="00D87DC9" w:rsidRPr="00B9254C" w:rsidRDefault="00A50FE7" w:rsidP="00A50FE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Impact of the UN80 Initiative and culture of efficiency</w:t>
      </w:r>
    </w:p>
    <w:p w14:paraId="428B56B6" w14:textId="77777777" w:rsidR="00D87DC9" w:rsidRPr="00B9254C" w:rsidRDefault="00D87DC9" w:rsidP="00A50FE7">
      <w:pPr>
        <w:pStyle w:val="SingleTxt"/>
        <w:spacing w:after="0" w:line="120" w:lineRule="exact"/>
        <w:rPr>
          <w:sz w:val="10"/>
          <w:lang w:val="en-GB"/>
        </w:rPr>
      </w:pPr>
    </w:p>
    <w:p w14:paraId="32C52E63" w14:textId="2A623902" w:rsidR="00D87DC9" w:rsidRPr="00B9254C" w:rsidRDefault="00D87DC9" w:rsidP="00E90676">
      <w:pPr>
        <w:pStyle w:val="SingleTxt"/>
        <w:rPr>
          <w:spacing w:val="2"/>
          <w:lang w:val="en-GB"/>
        </w:rPr>
      </w:pPr>
      <w:r w:rsidRPr="00B9254C">
        <w:rPr>
          <w:spacing w:val="2"/>
          <w:lang w:val="en-GB"/>
        </w:rPr>
        <w:t>14.</w:t>
      </w:r>
      <w:r w:rsidRPr="00B9254C">
        <w:rPr>
          <w:spacing w:val="2"/>
          <w:lang w:val="en-GB"/>
        </w:rPr>
        <w:tab/>
        <w:t>Information on efficiency gains is provided in section II.C of the report of the Secretary-General. The cost estimates for the period from 1 July 2026 to 30 June 2027 take into account efficiency initiatives under military contingent personnel, civilian personnel, consultants and consulting services, facilities and infrastructure, ground transportation, air operations and communications and information technology in the amount of $154,998,800. Estimated efficiencies for 2026/27 represent a 13.2 per cent reduction compared with the approved budget for 2025/26, in the context of an overall 13.0 per cent proposed reduction. Upon enquiry, the Advisory Committee was informed that, in preparing the proposed budget for 2026/27, MINUSCA followed the spirit and principles of the UN80 Initiative, building on adjustments implemented during 2025 in line with the liquidity contingency plan, and aligned its structure, staffing levels and resource allocation with efficiency, prioritization and streamlined delivery objectives to address critical political and operational priorities. Within the reconfiguration measures, reductions have primarily affected uniformed and international civilian personnel, including government-provided personnel, while national staff posts have been preserved. The Committee was informed that MINUSCA continues to implement the orderly drawdown, closure and handover and remains on track with its planned withdrawal timeline. Also, the revised disposition of uniformed components will be finalized in April 2026. The reversibility element included in the proposed 2026/27 budget is designed to allow the Mission to adjust capabilities in response to evolving operational or financial conditions while safeguarding critical functions.</w:t>
      </w:r>
    </w:p>
    <w:p w14:paraId="51915F82" w14:textId="771752C2" w:rsidR="00D87DC9" w:rsidRPr="00B9254C" w:rsidRDefault="00D87DC9" w:rsidP="00D87DC9">
      <w:pPr>
        <w:pStyle w:val="SingleTxt"/>
        <w:rPr>
          <w:lang w:val="en-GB"/>
        </w:rPr>
      </w:pPr>
      <w:r w:rsidRPr="00B9254C">
        <w:rPr>
          <w:lang w:val="en-GB"/>
        </w:rPr>
        <w:t>15.</w:t>
      </w:r>
      <w:r w:rsidRPr="00B9254C">
        <w:rPr>
          <w:lang w:val="en-GB"/>
        </w:rPr>
        <w:tab/>
      </w:r>
      <w:r w:rsidRPr="00B9254C">
        <w:rPr>
          <w:b/>
          <w:bCs/>
          <w:lang w:val="en-GB"/>
        </w:rPr>
        <w:t xml:space="preserve">The Advisory Committee notes that the proposed reductions reflect changes in the authorized number of uniformed personnel and operational requirements in the post-election consolidation phase (see section B below) and efficiency gains resulting from process improvements and from liquidity constraints and temporary expenditure compression. The Committee trusts that further information on the connection between the proposed reductions and the changes in expected accomplishments and outputs proposed for 2026/27 will be provided to the General Assembly at the time of its consideration of the present report to allow for a better assessment of the sustainability and long-term implications of such measures on the implementation of the mandate. </w:t>
      </w:r>
      <w:r w:rsidRPr="00B9254C">
        <w:rPr>
          <w:lang w:val="en-GB"/>
        </w:rPr>
        <w:t>The Committee further discusses efficiency measures in its report on cross-cutting issues related to peacekeeping operations (</w:t>
      </w:r>
      <w:hyperlink r:id="rId30" w:history="1">
        <w:r w:rsidRPr="00B9254C">
          <w:rPr>
            <w:rStyle w:val="Hyperlink"/>
            <w:lang w:val="en-GB"/>
          </w:rPr>
          <w:t>A/80/604</w:t>
        </w:r>
      </w:hyperlink>
      <w:r w:rsidRPr="00B9254C">
        <w:rPr>
          <w:lang w:val="en-GB"/>
        </w:rPr>
        <w:t>).</w:t>
      </w:r>
    </w:p>
    <w:p w14:paraId="5109EC5F" w14:textId="77777777" w:rsidR="00D87DC9" w:rsidRPr="00B9254C" w:rsidRDefault="00D87DC9" w:rsidP="00E90676">
      <w:pPr>
        <w:pStyle w:val="SingleTxt"/>
        <w:spacing w:after="0" w:line="120" w:lineRule="exact"/>
        <w:rPr>
          <w:sz w:val="10"/>
          <w:lang w:val="en-GB"/>
        </w:rPr>
      </w:pPr>
    </w:p>
    <w:p w14:paraId="20508480" w14:textId="77777777" w:rsidR="00E90676" w:rsidRPr="00B9254C" w:rsidRDefault="00E90676" w:rsidP="00E90676">
      <w:pPr>
        <w:pStyle w:val="SingleTxt"/>
        <w:spacing w:after="0" w:line="120" w:lineRule="exact"/>
        <w:rPr>
          <w:sz w:val="10"/>
          <w:lang w:val="en-GB"/>
        </w:rPr>
      </w:pPr>
    </w:p>
    <w:p w14:paraId="04BDD2CE" w14:textId="753D8B1D" w:rsidR="00D87DC9" w:rsidRPr="00B9254C" w:rsidRDefault="00E90676" w:rsidP="00A50F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B.</w:t>
      </w:r>
      <w:r w:rsidR="00D87DC9" w:rsidRPr="00B9254C">
        <w:rPr>
          <w:lang w:val="en-GB"/>
        </w:rPr>
        <w:tab/>
        <w:t>Resource requirements</w:t>
      </w:r>
    </w:p>
    <w:p w14:paraId="33DC48E8" w14:textId="77777777" w:rsidR="00E90676" w:rsidRPr="00B9254C" w:rsidRDefault="00E90676" w:rsidP="00E90676">
      <w:pPr>
        <w:pStyle w:val="SingleTxt"/>
        <w:spacing w:after="0" w:line="120" w:lineRule="exact"/>
        <w:rPr>
          <w:sz w:val="10"/>
          <w:lang w:val="en-GB"/>
        </w:rPr>
      </w:pPr>
    </w:p>
    <w:p w14:paraId="19E0B39F" w14:textId="77777777" w:rsidR="00E90676" w:rsidRPr="00B9254C" w:rsidRDefault="00E90676" w:rsidP="00E90676">
      <w:pPr>
        <w:pStyle w:val="SingleTxt"/>
        <w:spacing w:after="0" w:line="120" w:lineRule="exact"/>
        <w:rPr>
          <w:sz w:val="10"/>
          <w:lang w:val="en-GB"/>
        </w:rPr>
      </w:pPr>
    </w:p>
    <w:p w14:paraId="014CD798" w14:textId="1D9EB3A3" w:rsidR="00D87DC9" w:rsidRPr="00B9254C" w:rsidRDefault="00D87DC9" w:rsidP="00A50F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Financial resources</w:t>
      </w:r>
    </w:p>
    <w:p w14:paraId="7BF7A2E1" w14:textId="77777777" w:rsidR="00D87DC9" w:rsidRPr="00B9254C" w:rsidRDefault="00D87DC9" w:rsidP="00697ECA">
      <w:pPr>
        <w:pStyle w:val="SingleTxt"/>
        <w:spacing w:after="0"/>
        <w:ind w:left="0"/>
        <w:rPr>
          <w:sz w:val="14"/>
          <w:szCs w:val="14"/>
          <w:lang w:val="en-GB"/>
        </w:rPr>
      </w:pPr>
      <w:r w:rsidRPr="00B9254C">
        <w:rPr>
          <w:sz w:val="14"/>
          <w:szCs w:val="14"/>
          <w:lang w:val="en-GB"/>
        </w:rPr>
        <w:t>(Thousands of United States dollars)</w:t>
      </w:r>
    </w:p>
    <w:p w14:paraId="6EF457ED" w14:textId="68494078" w:rsidR="00D87DC9" w:rsidRPr="00B9254C" w:rsidRDefault="00D87DC9" w:rsidP="00E90676">
      <w:pPr>
        <w:pStyle w:val="SingleTxt"/>
        <w:spacing w:after="0" w:line="120" w:lineRule="exact"/>
        <w:rPr>
          <w:sz w:val="10"/>
          <w:lang w:val="en-GB"/>
        </w:rPr>
      </w:pPr>
    </w:p>
    <w:p w14:paraId="415E3637" w14:textId="77777777" w:rsidR="00E90676" w:rsidRPr="00B9254C" w:rsidRDefault="00E90676" w:rsidP="00E90676">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1"/>
        <w:gridCol w:w="1136"/>
        <w:gridCol w:w="1091"/>
        <w:gridCol w:w="1109"/>
        <w:gridCol w:w="1154"/>
        <w:gridCol w:w="1118"/>
        <w:gridCol w:w="101"/>
        <w:gridCol w:w="963"/>
        <w:gridCol w:w="877"/>
      </w:tblGrid>
      <w:tr w:rsidR="00697ECA" w:rsidRPr="00B9254C" w14:paraId="1ED438F0" w14:textId="77777777" w:rsidTr="00DE7052">
        <w:trPr>
          <w:tblHeader/>
        </w:trPr>
        <w:tc>
          <w:tcPr>
            <w:tcW w:w="2295" w:type="dxa"/>
            <w:vMerge w:val="restart"/>
            <w:tcBorders>
              <w:top w:val="single" w:sz="4" w:space="0" w:color="auto"/>
            </w:tcBorders>
            <w:vAlign w:val="bottom"/>
          </w:tcPr>
          <w:p w14:paraId="0523BA5F" w14:textId="11179E3B" w:rsidR="00697ECA" w:rsidRPr="00B9254C" w:rsidRDefault="00697ECA" w:rsidP="00697ECA">
            <w:pPr>
              <w:pStyle w:val="SingleTxt"/>
              <w:spacing w:before="81" w:after="81" w:line="160" w:lineRule="exact"/>
              <w:ind w:left="0" w:right="40"/>
              <w:rPr>
                <w:i/>
                <w:sz w:val="14"/>
                <w:lang w:val="en-GB"/>
              </w:rPr>
            </w:pPr>
            <w:r w:rsidRPr="00B9254C">
              <w:rPr>
                <w:i/>
                <w:sz w:val="14"/>
                <w:lang w:val="en-GB"/>
              </w:rPr>
              <w:t>Category</w:t>
            </w:r>
          </w:p>
        </w:tc>
        <w:tc>
          <w:tcPr>
            <w:tcW w:w="1134" w:type="dxa"/>
            <w:vMerge w:val="restart"/>
            <w:tcBorders>
              <w:top w:val="single" w:sz="4" w:space="0" w:color="auto"/>
            </w:tcBorders>
            <w:vAlign w:val="bottom"/>
          </w:tcPr>
          <w:p w14:paraId="46B192C5" w14:textId="35A8920F" w:rsidR="00697ECA" w:rsidRPr="00B9254C" w:rsidRDefault="00697ECA" w:rsidP="00697ECA">
            <w:pPr>
              <w:pStyle w:val="SingleTxt"/>
              <w:spacing w:before="81" w:after="81" w:line="160" w:lineRule="exact"/>
              <w:ind w:left="144" w:right="40"/>
              <w:jc w:val="right"/>
              <w:rPr>
                <w:i/>
                <w:sz w:val="14"/>
                <w:lang w:val="en-GB"/>
              </w:rPr>
            </w:pPr>
            <w:r w:rsidRPr="00B9254C">
              <w:rPr>
                <w:i/>
                <w:sz w:val="14"/>
                <w:lang w:val="en-GB"/>
              </w:rPr>
              <w:t>Apportionment (2024/25)</w:t>
            </w:r>
          </w:p>
        </w:tc>
        <w:tc>
          <w:tcPr>
            <w:tcW w:w="1089" w:type="dxa"/>
            <w:vMerge w:val="restart"/>
            <w:tcBorders>
              <w:top w:val="single" w:sz="4" w:space="0" w:color="auto"/>
            </w:tcBorders>
            <w:vAlign w:val="bottom"/>
          </w:tcPr>
          <w:p w14:paraId="25587B9D" w14:textId="071F3862" w:rsidR="00697ECA" w:rsidRPr="00B9254C" w:rsidRDefault="00697ECA" w:rsidP="00697ECA">
            <w:pPr>
              <w:pStyle w:val="SingleTxt"/>
              <w:spacing w:before="81" w:after="81" w:line="160" w:lineRule="exact"/>
              <w:ind w:left="144" w:right="40"/>
              <w:jc w:val="right"/>
              <w:rPr>
                <w:i/>
                <w:sz w:val="14"/>
                <w:lang w:val="en-GB"/>
              </w:rPr>
            </w:pPr>
            <w:r w:rsidRPr="00B9254C">
              <w:rPr>
                <w:i/>
                <w:sz w:val="14"/>
                <w:lang w:val="en-GB"/>
              </w:rPr>
              <w:t>Expenditure (2024/25)</w:t>
            </w:r>
          </w:p>
        </w:tc>
        <w:tc>
          <w:tcPr>
            <w:tcW w:w="1107" w:type="dxa"/>
            <w:vMerge w:val="restart"/>
            <w:tcBorders>
              <w:top w:val="single" w:sz="4" w:space="0" w:color="auto"/>
            </w:tcBorders>
            <w:vAlign w:val="bottom"/>
          </w:tcPr>
          <w:p w14:paraId="4E8B0D07" w14:textId="4C29CC9A" w:rsidR="00697ECA" w:rsidRPr="00B9254C" w:rsidRDefault="00697ECA" w:rsidP="00697ECA">
            <w:pPr>
              <w:pStyle w:val="SingleTxt"/>
              <w:spacing w:before="81" w:after="81" w:line="160" w:lineRule="exact"/>
              <w:ind w:left="144" w:right="40"/>
              <w:jc w:val="right"/>
              <w:rPr>
                <w:i/>
                <w:sz w:val="14"/>
                <w:lang w:val="en-GB"/>
              </w:rPr>
            </w:pPr>
            <w:r w:rsidRPr="00B9254C">
              <w:rPr>
                <w:i/>
                <w:sz w:val="14"/>
                <w:lang w:val="en-GB"/>
              </w:rPr>
              <w:t>Apportionment (2025/26)</w:t>
            </w:r>
          </w:p>
        </w:tc>
        <w:tc>
          <w:tcPr>
            <w:tcW w:w="1152" w:type="dxa"/>
            <w:vMerge w:val="restart"/>
            <w:tcBorders>
              <w:top w:val="single" w:sz="4" w:space="0" w:color="auto"/>
            </w:tcBorders>
            <w:vAlign w:val="bottom"/>
          </w:tcPr>
          <w:p w14:paraId="477F9AF6" w14:textId="435BF18D" w:rsidR="00697ECA" w:rsidRPr="00B9254C" w:rsidRDefault="00697ECA" w:rsidP="00697ECA">
            <w:pPr>
              <w:pStyle w:val="SingleTxt"/>
              <w:spacing w:before="81" w:after="81" w:line="160" w:lineRule="exact"/>
              <w:ind w:left="144" w:right="40"/>
              <w:jc w:val="right"/>
              <w:rPr>
                <w:i/>
                <w:sz w:val="14"/>
                <w:lang w:val="en-GB"/>
              </w:rPr>
            </w:pPr>
            <w:r w:rsidRPr="00B9254C">
              <w:rPr>
                <w:i/>
                <w:sz w:val="14"/>
                <w:lang w:val="en-GB"/>
              </w:rPr>
              <w:t>Expenditure as at 28 February 2026</w:t>
            </w:r>
          </w:p>
        </w:tc>
        <w:tc>
          <w:tcPr>
            <w:tcW w:w="1116" w:type="dxa"/>
            <w:vMerge w:val="restart"/>
            <w:tcBorders>
              <w:top w:val="single" w:sz="4" w:space="0" w:color="auto"/>
            </w:tcBorders>
            <w:vAlign w:val="bottom"/>
          </w:tcPr>
          <w:p w14:paraId="0568ABE8" w14:textId="048A3F60" w:rsidR="00697ECA" w:rsidRPr="00B9254C" w:rsidRDefault="00697ECA" w:rsidP="00697ECA">
            <w:pPr>
              <w:pStyle w:val="SingleTxt"/>
              <w:spacing w:before="81" w:after="81" w:line="160" w:lineRule="exact"/>
              <w:ind w:left="144" w:right="40"/>
              <w:jc w:val="right"/>
              <w:rPr>
                <w:i/>
                <w:sz w:val="14"/>
                <w:lang w:val="en-GB"/>
              </w:rPr>
            </w:pPr>
            <w:r w:rsidRPr="00B9254C">
              <w:rPr>
                <w:i/>
                <w:sz w:val="14"/>
                <w:lang w:val="en-GB"/>
              </w:rPr>
              <w:t>Cost estimates (2026/27)</w:t>
            </w:r>
          </w:p>
        </w:tc>
        <w:tc>
          <w:tcPr>
            <w:tcW w:w="101" w:type="dxa"/>
            <w:tcBorders>
              <w:top w:val="single" w:sz="4" w:space="0" w:color="auto"/>
            </w:tcBorders>
            <w:vAlign w:val="bottom"/>
          </w:tcPr>
          <w:p w14:paraId="1B97A346" w14:textId="7C20C4D2"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705" w:type="dxa"/>
            <w:gridSpan w:val="2"/>
            <w:tcBorders>
              <w:top w:val="single" w:sz="4" w:space="0" w:color="auto"/>
              <w:bottom w:val="single" w:sz="4" w:space="0" w:color="auto"/>
            </w:tcBorders>
            <w:vAlign w:val="bottom"/>
          </w:tcPr>
          <w:p w14:paraId="235F6C8E" w14:textId="102BABAC"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B9254C">
              <w:rPr>
                <w:i/>
                <w:sz w:val="14"/>
                <w:lang w:val="en-GB"/>
              </w:rPr>
              <w:t>Variance</w:t>
            </w:r>
          </w:p>
        </w:tc>
      </w:tr>
      <w:tr w:rsidR="00697ECA" w:rsidRPr="00B9254C" w14:paraId="76988F3E" w14:textId="77777777" w:rsidTr="00DE7052">
        <w:trPr>
          <w:tblHeader/>
        </w:trPr>
        <w:tc>
          <w:tcPr>
            <w:tcW w:w="2295" w:type="dxa"/>
            <w:vMerge/>
            <w:tcBorders>
              <w:bottom w:val="single" w:sz="12" w:space="0" w:color="auto"/>
            </w:tcBorders>
            <w:vAlign w:val="bottom"/>
          </w:tcPr>
          <w:p w14:paraId="4E990F40" w14:textId="32E1877D"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134" w:type="dxa"/>
            <w:vMerge/>
            <w:tcBorders>
              <w:bottom w:val="single" w:sz="12" w:space="0" w:color="auto"/>
            </w:tcBorders>
            <w:vAlign w:val="bottom"/>
          </w:tcPr>
          <w:p w14:paraId="60EAEFB4" w14:textId="3CCA3D90"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089" w:type="dxa"/>
            <w:vMerge/>
            <w:tcBorders>
              <w:bottom w:val="single" w:sz="12" w:space="0" w:color="auto"/>
            </w:tcBorders>
            <w:vAlign w:val="bottom"/>
          </w:tcPr>
          <w:p w14:paraId="2FFAA3FC" w14:textId="11BC7D4A"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07" w:type="dxa"/>
            <w:vMerge/>
            <w:tcBorders>
              <w:bottom w:val="single" w:sz="12" w:space="0" w:color="auto"/>
            </w:tcBorders>
            <w:vAlign w:val="bottom"/>
          </w:tcPr>
          <w:p w14:paraId="3D71BAFC" w14:textId="1CCBA94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52" w:type="dxa"/>
            <w:vMerge/>
            <w:tcBorders>
              <w:bottom w:val="single" w:sz="12" w:space="0" w:color="auto"/>
            </w:tcBorders>
            <w:vAlign w:val="bottom"/>
          </w:tcPr>
          <w:p w14:paraId="4F1F377A" w14:textId="0A002A1B"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16" w:type="dxa"/>
            <w:vMerge/>
            <w:tcBorders>
              <w:bottom w:val="single" w:sz="12" w:space="0" w:color="auto"/>
            </w:tcBorders>
            <w:vAlign w:val="bottom"/>
          </w:tcPr>
          <w:p w14:paraId="7BA02CAB" w14:textId="1C445554"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062" w:type="dxa"/>
            <w:gridSpan w:val="2"/>
            <w:tcBorders>
              <w:bottom w:val="single" w:sz="12" w:space="0" w:color="auto"/>
            </w:tcBorders>
            <w:vAlign w:val="bottom"/>
          </w:tcPr>
          <w:p w14:paraId="4ADE84C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Amount</w:t>
            </w:r>
          </w:p>
        </w:tc>
        <w:tc>
          <w:tcPr>
            <w:tcW w:w="875" w:type="dxa"/>
            <w:tcBorders>
              <w:bottom w:val="single" w:sz="12" w:space="0" w:color="auto"/>
            </w:tcBorders>
            <w:vAlign w:val="bottom"/>
          </w:tcPr>
          <w:p w14:paraId="5599568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Percentage</w:t>
            </w:r>
          </w:p>
        </w:tc>
      </w:tr>
      <w:tr w:rsidR="00A50FE7" w:rsidRPr="00B9254C" w14:paraId="053BF908" w14:textId="77777777" w:rsidTr="00DE7052">
        <w:trPr>
          <w:trHeight w:hRule="exact" w:val="115"/>
          <w:tblHeader/>
        </w:trPr>
        <w:tc>
          <w:tcPr>
            <w:tcW w:w="2295" w:type="dxa"/>
            <w:tcBorders>
              <w:top w:val="single" w:sz="12" w:space="0" w:color="auto"/>
            </w:tcBorders>
            <w:vAlign w:val="bottom"/>
          </w:tcPr>
          <w:p w14:paraId="3D9BCC64"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134" w:type="dxa"/>
            <w:tcBorders>
              <w:top w:val="single" w:sz="12" w:space="0" w:color="auto"/>
            </w:tcBorders>
            <w:vAlign w:val="bottom"/>
          </w:tcPr>
          <w:p w14:paraId="1CFCDC84"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89" w:type="dxa"/>
            <w:tcBorders>
              <w:top w:val="single" w:sz="12" w:space="0" w:color="auto"/>
            </w:tcBorders>
            <w:vAlign w:val="bottom"/>
          </w:tcPr>
          <w:p w14:paraId="2BA472A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07" w:type="dxa"/>
            <w:tcBorders>
              <w:top w:val="single" w:sz="12" w:space="0" w:color="auto"/>
            </w:tcBorders>
            <w:vAlign w:val="bottom"/>
          </w:tcPr>
          <w:p w14:paraId="5ECFE53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52" w:type="dxa"/>
            <w:tcBorders>
              <w:top w:val="single" w:sz="12" w:space="0" w:color="auto"/>
            </w:tcBorders>
            <w:vAlign w:val="bottom"/>
          </w:tcPr>
          <w:p w14:paraId="689A03D7"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6" w:type="dxa"/>
            <w:tcBorders>
              <w:top w:val="single" w:sz="12" w:space="0" w:color="auto"/>
            </w:tcBorders>
            <w:vAlign w:val="bottom"/>
          </w:tcPr>
          <w:p w14:paraId="77922F29"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62" w:type="dxa"/>
            <w:gridSpan w:val="2"/>
            <w:tcBorders>
              <w:top w:val="single" w:sz="12" w:space="0" w:color="auto"/>
            </w:tcBorders>
            <w:vAlign w:val="bottom"/>
          </w:tcPr>
          <w:p w14:paraId="3E2832DA"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75" w:type="dxa"/>
            <w:tcBorders>
              <w:top w:val="single" w:sz="12" w:space="0" w:color="auto"/>
            </w:tcBorders>
            <w:vAlign w:val="bottom"/>
          </w:tcPr>
          <w:p w14:paraId="2733B1E2"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A50FE7" w:rsidRPr="00B9254C" w14:paraId="3BB12CA8" w14:textId="77777777" w:rsidTr="00DE7052">
        <w:tc>
          <w:tcPr>
            <w:tcW w:w="2295" w:type="dxa"/>
            <w:vAlign w:val="bottom"/>
          </w:tcPr>
          <w:p w14:paraId="55BC2B71"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Military and police personnel</w:t>
            </w:r>
          </w:p>
        </w:tc>
        <w:tc>
          <w:tcPr>
            <w:tcW w:w="1134" w:type="dxa"/>
            <w:vAlign w:val="bottom"/>
          </w:tcPr>
          <w:p w14:paraId="2EDB79E0"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642 877.4</w:t>
            </w:r>
          </w:p>
        </w:tc>
        <w:tc>
          <w:tcPr>
            <w:tcW w:w="1089" w:type="dxa"/>
            <w:vAlign w:val="bottom"/>
          </w:tcPr>
          <w:p w14:paraId="34DF4876"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628 416.9</w:t>
            </w:r>
          </w:p>
        </w:tc>
        <w:tc>
          <w:tcPr>
            <w:tcW w:w="1107" w:type="dxa"/>
            <w:vAlign w:val="bottom"/>
          </w:tcPr>
          <w:p w14:paraId="74EBB8A5"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635 236.3</w:t>
            </w:r>
          </w:p>
        </w:tc>
        <w:tc>
          <w:tcPr>
            <w:tcW w:w="1152" w:type="dxa"/>
            <w:vAlign w:val="bottom"/>
          </w:tcPr>
          <w:p w14:paraId="121793B8"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354 964.5</w:t>
            </w:r>
          </w:p>
        </w:tc>
        <w:tc>
          <w:tcPr>
            <w:tcW w:w="1116" w:type="dxa"/>
            <w:vAlign w:val="bottom"/>
          </w:tcPr>
          <w:p w14:paraId="2D8AC466"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500 029.3</w:t>
            </w:r>
          </w:p>
        </w:tc>
        <w:tc>
          <w:tcPr>
            <w:tcW w:w="1062" w:type="dxa"/>
            <w:gridSpan w:val="2"/>
            <w:vAlign w:val="bottom"/>
          </w:tcPr>
          <w:p w14:paraId="3F9D4CA1"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(135 207.0)</w:t>
            </w:r>
          </w:p>
        </w:tc>
        <w:tc>
          <w:tcPr>
            <w:tcW w:w="875" w:type="dxa"/>
            <w:vAlign w:val="bottom"/>
          </w:tcPr>
          <w:p w14:paraId="10919296"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(21.3)</w:t>
            </w:r>
          </w:p>
        </w:tc>
      </w:tr>
      <w:tr w:rsidR="00A50FE7" w:rsidRPr="00B9254C" w14:paraId="03309D30" w14:textId="77777777" w:rsidTr="00DE7052">
        <w:tc>
          <w:tcPr>
            <w:tcW w:w="2295" w:type="dxa"/>
            <w:vAlign w:val="bottom"/>
          </w:tcPr>
          <w:p w14:paraId="170AEA4C"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Civilian personnel</w:t>
            </w:r>
          </w:p>
        </w:tc>
        <w:tc>
          <w:tcPr>
            <w:tcW w:w="1134" w:type="dxa"/>
            <w:vAlign w:val="bottom"/>
          </w:tcPr>
          <w:p w14:paraId="18CB211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235 925.4</w:t>
            </w:r>
          </w:p>
        </w:tc>
        <w:tc>
          <w:tcPr>
            <w:tcW w:w="1089" w:type="dxa"/>
            <w:vAlign w:val="bottom"/>
          </w:tcPr>
          <w:p w14:paraId="43C1C4D4"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250 145.3</w:t>
            </w:r>
          </w:p>
        </w:tc>
        <w:tc>
          <w:tcPr>
            <w:tcW w:w="1107" w:type="dxa"/>
            <w:vAlign w:val="bottom"/>
          </w:tcPr>
          <w:p w14:paraId="7BA8BF72"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256 506.0</w:t>
            </w:r>
          </w:p>
        </w:tc>
        <w:tc>
          <w:tcPr>
            <w:tcW w:w="1152" w:type="dxa"/>
            <w:vAlign w:val="bottom"/>
          </w:tcPr>
          <w:p w14:paraId="13C56EB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162 960.1</w:t>
            </w:r>
          </w:p>
        </w:tc>
        <w:tc>
          <w:tcPr>
            <w:tcW w:w="1116" w:type="dxa"/>
            <w:vAlign w:val="bottom"/>
          </w:tcPr>
          <w:p w14:paraId="1835A838"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238 899.4</w:t>
            </w:r>
          </w:p>
        </w:tc>
        <w:tc>
          <w:tcPr>
            <w:tcW w:w="1062" w:type="dxa"/>
            <w:gridSpan w:val="2"/>
            <w:vAlign w:val="bottom"/>
          </w:tcPr>
          <w:p w14:paraId="5D832D3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(17 606.6)</w:t>
            </w:r>
          </w:p>
        </w:tc>
        <w:tc>
          <w:tcPr>
            <w:tcW w:w="875" w:type="dxa"/>
            <w:vAlign w:val="bottom"/>
          </w:tcPr>
          <w:p w14:paraId="0C6B15D1"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(6.9)</w:t>
            </w:r>
          </w:p>
        </w:tc>
      </w:tr>
      <w:tr w:rsidR="00A50FE7" w:rsidRPr="00B9254C" w14:paraId="251BF0F9" w14:textId="77777777" w:rsidTr="00DE7052">
        <w:tc>
          <w:tcPr>
            <w:tcW w:w="2295" w:type="dxa"/>
            <w:tcBorders>
              <w:bottom w:val="single" w:sz="4" w:space="0" w:color="auto"/>
            </w:tcBorders>
            <w:vAlign w:val="bottom"/>
          </w:tcPr>
          <w:p w14:paraId="7B0AFEFE"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B9254C">
              <w:rPr>
                <w:sz w:val="17"/>
                <w:lang w:val="en-GB"/>
              </w:rPr>
              <w:t>Operational costs</w:t>
            </w:r>
          </w:p>
        </w:tc>
        <w:tc>
          <w:tcPr>
            <w:tcW w:w="1134" w:type="dxa"/>
            <w:tcBorders>
              <w:bottom w:val="single" w:sz="4" w:space="0" w:color="auto"/>
            </w:tcBorders>
            <w:vAlign w:val="bottom"/>
          </w:tcPr>
          <w:p w14:paraId="6FE55E31"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292 816.9</w:t>
            </w:r>
          </w:p>
        </w:tc>
        <w:tc>
          <w:tcPr>
            <w:tcW w:w="1089" w:type="dxa"/>
            <w:tcBorders>
              <w:bottom w:val="single" w:sz="4" w:space="0" w:color="auto"/>
            </w:tcBorders>
            <w:vAlign w:val="bottom"/>
          </w:tcPr>
          <w:p w14:paraId="4D5B81C0"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267 706.9</w:t>
            </w:r>
          </w:p>
        </w:tc>
        <w:tc>
          <w:tcPr>
            <w:tcW w:w="1107" w:type="dxa"/>
            <w:tcBorders>
              <w:bottom w:val="single" w:sz="4" w:space="0" w:color="auto"/>
            </w:tcBorders>
            <w:vAlign w:val="bottom"/>
          </w:tcPr>
          <w:p w14:paraId="4A8D77A5"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282 389.7</w:t>
            </w:r>
          </w:p>
        </w:tc>
        <w:tc>
          <w:tcPr>
            <w:tcW w:w="1152" w:type="dxa"/>
            <w:tcBorders>
              <w:bottom w:val="single" w:sz="4" w:space="0" w:color="auto"/>
            </w:tcBorders>
            <w:vAlign w:val="bottom"/>
          </w:tcPr>
          <w:p w14:paraId="3033C710"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145 268.3</w:t>
            </w:r>
          </w:p>
        </w:tc>
        <w:tc>
          <w:tcPr>
            <w:tcW w:w="1116" w:type="dxa"/>
            <w:tcBorders>
              <w:bottom w:val="single" w:sz="4" w:space="0" w:color="auto"/>
            </w:tcBorders>
            <w:vAlign w:val="bottom"/>
          </w:tcPr>
          <w:p w14:paraId="4D688DA6"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282 706.7</w:t>
            </w:r>
          </w:p>
        </w:tc>
        <w:tc>
          <w:tcPr>
            <w:tcW w:w="1062" w:type="dxa"/>
            <w:gridSpan w:val="2"/>
            <w:tcBorders>
              <w:bottom w:val="single" w:sz="4" w:space="0" w:color="auto"/>
            </w:tcBorders>
            <w:vAlign w:val="bottom"/>
          </w:tcPr>
          <w:p w14:paraId="3F0EF52B"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317.0</w:t>
            </w:r>
          </w:p>
        </w:tc>
        <w:tc>
          <w:tcPr>
            <w:tcW w:w="875" w:type="dxa"/>
            <w:tcBorders>
              <w:bottom w:val="single" w:sz="4" w:space="0" w:color="auto"/>
            </w:tcBorders>
            <w:vAlign w:val="bottom"/>
          </w:tcPr>
          <w:p w14:paraId="3BE0409F"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0.1</w:t>
            </w:r>
          </w:p>
        </w:tc>
      </w:tr>
      <w:tr w:rsidR="00A50FE7" w:rsidRPr="00B9254C" w14:paraId="6295BA43" w14:textId="77777777" w:rsidTr="00DE7052">
        <w:tc>
          <w:tcPr>
            <w:tcW w:w="2295" w:type="dxa"/>
            <w:tcBorders>
              <w:top w:val="single" w:sz="4" w:space="0" w:color="auto"/>
              <w:bottom w:val="single" w:sz="12" w:space="0" w:color="auto"/>
            </w:tcBorders>
            <w:vAlign w:val="bottom"/>
          </w:tcPr>
          <w:p w14:paraId="3BF858CC" w14:textId="15647EA7" w:rsidR="00A50FE7"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B9254C">
              <w:rPr>
                <w:b/>
                <w:sz w:val="17"/>
                <w:lang w:val="en-GB"/>
              </w:rPr>
              <w:tab/>
            </w:r>
            <w:r w:rsidR="00A50FE7" w:rsidRPr="00B9254C">
              <w:rPr>
                <w:b/>
                <w:sz w:val="17"/>
                <w:lang w:val="en-GB"/>
              </w:rPr>
              <w:t>Gross requirements</w:t>
            </w:r>
          </w:p>
        </w:tc>
        <w:tc>
          <w:tcPr>
            <w:tcW w:w="1134" w:type="dxa"/>
            <w:tcBorders>
              <w:top w:val="single" w:sz="4" w:space="0" w:color="auto"/>
              <w:bottom w:val="single" w:sz="12" w:space="0" w:color="auto"/>
            </w:tcBorders>
            <w:vAlign w:val="bottom"/>
          </w:tcPr>
          <w:p w14:paraId="417369DE"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1 171 619.7</w:t>
            </w:r>
          </w:p>
        </w:tc>
        <w:tc>
          <w:tcPr>
            <w:tcW w:w="1089" w:type="dxa"/>
            <w:tcBorders>
              <w:top w:val="single" w:sz="4" w:space="0" w:color="auto"/>
              <w:bottom w:val="single" w:sz="12" w:space="0" w:color="auto"/>
            </w:tcBorders>
            <w:vAlign w:val="bottom"/>
          </w:tcPr>
          <w:p w14:paraId="03B148BD"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1 146 269.1</w:t>
            </w:r>
          </w:p>
        </w:tc>
        <w:tc>
          <w:tcPr>
            <w:tcW w:w="1107" w:type="dxa"/>
            <w:tcBorders>
              <w:top w:val="single" w:sz="4" w:space="0" w:color="auto"/>
              <w:bottom w:val="single" w:sz="12" w:space="0" w:color="auto"/>
            </w:tcBorders>
            <w:vAlign w:val="bottom"/>
          </w:tcPr>
          <w:p w14:paraId="43401B08"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1 174 132.0</w:t>
            </w:r>
          </w:p>
        </w:tc>
        <w:tc>
          <w:tcPr>
            <w:tcW w:w="1152" w:type="dxa"/>
            <w:tcBorders>
              <w:top w:val="single" w:sz="4" w:space="0" w:color="auto"/>
              <w:bottom w:val="single" w:sz="12" w:space="0" w:color="auto"/>
            </w:tcBorders>
            <w:vAlign w:val="bottom"/>
          </w:tcPr>
          <w:p w14:paraId="0D59C75E"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663 192.9</w:t>
            </w:r>
          </w:p>
        </w:tc>
        <w:tc>
          <w:tcPr>
            <w:tcW w:w="1116" w:type="dxa"/>
            <w:tcBorders>
              <w:top w:val="single" w:sz="4" w:space="0" w:color="auto"/>
              <w:bottom w:val="single" w:sz="12" w:space="0" w:color="auto"/>
            </w:tcBorders>
            <w:vAlign w:val="bottom"/>
          </w:tcPr>
          <w:p w14:paraId="4842233C"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1 021 635.4</w:t>
            </w:r>
          </w:p>
        </w:tc>
        <w:tc>
          <w:tcPr>
            <w:tcW w:w="1062" w:type="dxa"/>
            <w:gridSpan w:val="2"/>
            <w:tcBorders>
              <w:top w:val="single" w:sz="4" w:space="0" w:color="auto"/>
              <w:bottom w:val="single" w:sz="12" w:space="0" w:color="auto"/>
            </w:tcBorders>
            <w:vAlign w:val="bottom"/>
          </w:tcPr>
          <w:p w14:paraId="2C4E9694"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(152 496.6)</w:t>
            </w:r>
          </w:p>
        </w:tc>
        <w:tc>
          <w:tcPr>
            <w:tcW w:w="875" w:type="dxa"/>
            <w:tcBorders>
              <w:top w:val="single" w:sz="4" w:space="0" w:color="auto"/>
              <w:bottom w:val="single" w:sz="12" w:space="0" w:color="auto"/>
            </w:tcBorders>
            <w:vAlign w:val="bottom"/>
          </w:tcPr>
          <w:p w14:paraId="5DF3872D" w14:textId="77777777" w:rsidR="00A50FE7" w:rsidRPr="00B9254C" w:rsidRDefault="00A50FE7"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(13.0)</w:t>
            </w:r>
          </w:p>
        </w:tc>
      </w:tr>
    </w:tbl>
    <w:p w14:paraId="25C72288" w14:textId="77777777" w:rsidR="00D87DC9" w:rsidRPr="00B9254C" w:rsidRDefault="00D87DC9" w:rsidP="00E90676">
      <w:pPr>
        <w:pStyle w:val="SingleTxt"/>
        <w:spacing w:after="0" w:line="120" w:lineRule="exact"/>
        <w:rPr>
          <w:sz w:val="10"/>
          <w:lang w:val="en-GB"/>
        </w:rPr>
      </w:pPr>
    </w:p>
    <w:p w14:paraId="0EB944BC" w14:textId="77777777" w:rsidR="00E90676" w:rsidRPr="00B9254C" w:rsidRDefault="00E90676" w:rsidP="00E90676">
      <w:pPr>
        <w:pStyle w:val="SingleTxt"/>
        <w:spacing w:after="0" w:line="120" w:lineRule="exact"/>
        <w:rPr>
          <w:sz w:val="10"/>
          <w:lang w:val="en-GB"/>
        </w:rPr>
      </w:pPr>
    </w:p>
    <w:p w14:paraId="58CF1925" w14:textId="1FCC6756" w:rsidR="00D87DC9" w:rsidRPr="00B9254C" w:rsidRDefault="00D87DC9" w:rsidP="00E90676">
      <w:pPr>
        <w:pStyle w:val="SingleTxt"/>
        <w:rPr>
          <w:lang w:val="en-GB"/>
        </w:rPr>
      </w:pPr>
      <w:r w:rsidRPr="00B9254C">
        <w:rPr>
          <w:lang w:val="en-GB"/>
        </w:rPr>
        <w:t>16.</w:t>
      </w:r>
      <w:r w:rsidRPr="00B9254C">
        <w:rPr>
          <w:lang w:val="en-GB"/>
        </w:rPr>
        <w:tab/>
        <w:t>Detailed information on the financial resources and an analysis of variances is provided in sections II and III of the report of the Secretary-General (</w:t>
      </w:r>
      <w:hyperlink r:id="rId31" w:history="1">
        <w:r w:rsidRPr="00B9254C">
          <w:rPr>
            <w:rStyle w:val="Hyperlink"/>
            <w:lang w:val="en-GB"/>
          </w:rPr>
          <w:t>A/80/623</w:t>
        </w:r>
      </w:hyperlink>
      <w:r w:rsidRPr="00B9254C">
        <w:rPr>
          <w:lang w:val="en-GB"/>
        </w:rPr>
        <w:t>). The proposed requirements for 2026/27 amount to $1,021,635,400 and reflect a decrease of $152,496,600, or 13.0 per cent, compared with the apportionment of $1,174,132,000 approved for the 2025/26 period.</w:t>
      </w:r>
    </w:p>
    <w:p w14:paraId="1C047B08" w14:textId="77777777" w:rsidR="00D87DC9" w:rsidRPr="00B9254C" w:rsidRDefault="00D87DC9" w:rsidP="00D87DC9">
      <w:pPr>
        <w:pStyle w:val="SingleTxt"/>
        <w:rPr>
          <w:lang w:val="en-GB"/>
        </w:rPr>
      </w:pPr>
      <w:r w:rsidRPr="00B9254C">
        <w:rPr>
          <w:lang w:val="en-GB"/>
        </w:rPr>
        <w:t>17.</w:t>
      </w:r>
      <w:r w:rsidRPr="00B9254C">
        <w:rPr>
          <w:lang w:val="en-GB"/>
        </w:rPr>
        <w:tab/>
        <w:t xml:space="preserve">Non-budgeted contributions for 2026/27 are estimated at $76,463,500, comprising: (a) $75,885,500, representing the estimated value of buildings and land and services provided by the Government of the Central African Republic under the provisions of the status-of-mission agreement; and (b) $578,000, representing the estimated value of in-kind voluntary contributions (ibid., II.B). </w:t>
      </w:r>
      <w:r w:rsidRPr="00B9254C">
        <w:rPr>
          <w:b/>
          <w:bCs/>
          <w:lang w:val="en-GB"/>
        </w:rPr>
        <w:t xml:space="preserve">The Advisory Committee acknowledges the continued contributions by the host Government, as well as the in-kind voluntary contributions to MINUSCA. </w:t>
      </w:r>
    </w:p>
    <w:p w14:paraId="72F0AC88" w14:textId="77777777" w:rsidR="00D87DC9" w:rsidRPr="00B9254C" w:rsidRDefault="00D87DC9" w:rsidP="00697ECA">
      <w:pPr>
        <w:pStyle w:val="SingleTxt"/>
        <w:spacing w:after="0" w:line="120" w:lineRule="exact"/>
        <w:rPr>
          <w:sz w:val="10"/>
          <w:lang w:val="en-GB"/>
        </w:rPr>
      </w:pPr>
    </w:p>
    <w:p w14:paraId="1617DA51" w14:textId="12A141C9"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Removal of electoral support resources</w:t>
      </w:r>
    </w:p>
    <w:p w14:paraId="2C1F011C" w14:textId="77777777" w:rsidR="00D87DC9" w:rsidRPr="00B9254C" w:rsidRDefault="00D87DC9" w:rsidP="00697ECA">
      <w:pPr>
        <w:pStyle w:val="SingleTxt"/>
        <w:spacing w:after="0" w:line="120" w:lineRule="exact"/>
        <w:rPr>
          <w:sz w:val="10"/>
          <w:lang w:val="en-GB"/>
        </w:rPr>
      </w:pPr>
    </w:p>
    <w:p w14:paraId="3C7A650A" w14:textId="77777777" w:rsidR="00D87DC9" w:rsidRPr="00B9254C" w:rsidRDefault="00D87DC9" w:rsidP="00D87DC9">
      <w:pPr>
        <w:pStyle w:val="SingleTxt"/>
        <w:rPr>
          <w:lang w:val="en-GB"/>
        </w:rPr>
      </w:pPr>
      <w:r w:rsidRPr="00B9254C">
        <w:rPr>
          <w:lang w:val="en-GB"/>
        </w:rPr>
        <w:t>18.</w:t>
      </w:r>
      <w:r w:rsidRPr="00B9254C">
        <w:rPr>
          <w:lang w:val="en-GB"/>
        </w:rPr>
        <w:tab/>
        <w:t xml:space="preserve">As indicated in the report of the Secretary-General, in accordance with the mandate framework governing electoral support, the electoral assistance of MINUSCA was time-bound and limited to specific phases of the electoral process. Following the successful completion of the electoral cycle and the conclusion of the electoral support mandate by 30 June 2026, the functions formerly performed by the Electoral Affairs Service are no longer required beyond the current electoral support phase. The electoral support resources to be removed in 2026/27 would amount to $18,768,500 and pertain to the abolishment of 67 temporary positions within the Electoral Affairs Service and 3 posts in the Political Affairs Division and the decrease in operational costs, as indicated in the table below (see also para. 24 below). </w:t>
      </w:r>
    </w:p>
    <w:p w14:paraId="3E83109E" w14:textId="77777777" w:rsidR="00D87DC9" w:rsidRPr="00B9254C" w:rsidRDefault="00D87DC9" w:rsidP="00E90676">
      <w:pPr>
        <w:pStyle w:val="SingleTxt"/>
        <w:spacing w:after="0" w:line="120" w:lineRule="exact"/>
        <w:rPr>
          <w:sz w:val="10"/>
          <w:lang w:val="en-GB"/>
        </w:rPr>
      </w:pPr>
    </w:p>
    <w:p w14:paraId="45214B06" w14:textId="331420A7" w:rsidR="00D87DC9" w:rsidRPr="00B9254C" w:rsidRDefault="00697ECA"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9254C">
        <w:rPr>
          <w:lang w:val="en-GB"/>
        </w:rPr>
        <w:tab/>
      </w:r>
      <w:r w:rsidRPr="00B9254C">
        <w:rPr>
          <w:lang w:val="en-GB"/>
        </w:rPr>
        <w:tab/>
      </w:r>
      <w:r w:rsidR="00D87DC9" w:rsidRPr="00B9254C">
        <w:rPr>
          <w:b w:val="0"/>
          <w:bCs/>
          <w:lang w:val="en-GB"/>
        </w:rPr>
        <w:t>Table 1</w:t>
      </w:r>
    </w:p>
    <w:p w14:paraId="294805EA" w14:textId="3B151048" w:rsidR="00D87DC9" w:rsidRPr="00B9254C" w:rsidRDefault="00697ECA"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Electoral resources removed from the budget proposal for 2026/27</w:t>
      </w:r>
    </w:p>
    <w:p w14:paraId="4B17A897" w14:textId="77777777" w:rsidR="00D87DC9" w:rsidRPr="00B9254C" w:rsidRDefault="00D87DC9" w:rsidP="00697ECA">
      <w:pPr>
        <w:pStyle w:val="SingleTxt"/>
        <w:spacing w:after="0"/>
        <w:rPr>
          <w:sz w:val="14"/>
          <w:szCs w:val="14"/>
          <w:lang w:val="en-GB"/>
        </w:rPr>
      </w:pPr>
      <w:r w:rsidRPr="00B9254C">
        <w:rPr>
          <w:sz w:val="14"/>
          <w:szCs w:val="14"/>
          <w:lang w:val="en-GB"/>
        </w:rPr>
        <w:t>(Thousands of United States dollars)</w:t>
      </w:r>
    </w:p>
    <w:p w14:paraId="65AB86BD" w14:textId="2114EFE5" w:rsidR="00D87DC9" w:rsidRPr="00B9254C" w:rsidRDefault="00D87DC9" w:rsidP="00E90676">
      <w:pPr>
        <w:pStyle w:val="SingleTxt"/>
        <w:spacing w:after="0" w:line="120" w:lineRule="exact"/>
        <w:rPr>
          <w:sz w:val="10"/>
          <w:lang w:val="en-GB"/>
        </w:rPr>
      </w:pPr>
    </w:p>
    <w:p w14:paraId="3598A294" w14:textId="77777777" w:rsidR="00E90676" w:rsidRPr="00B9254C" w:rsidRDefault="00E90676" w:rsidP="00E90676">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0"/>
        <w:gridCol w:w="3660"/>
      </w:tblGrid>
      <w:tr w:rsidR="00697ECA" w:rsidRPr="00B9254C" w14:paraId="6724D72D" w14:textId="77777777" w:rsidTr="00697ECA">
        <w:trPr>
          <w:tblHeader/>
        </w:trPr>
        <w:tc>
          <w:tcPr>
            <w:tcW w:w="3660" w:type="dxa"/>
            <w:tcBorders>
              <w:top w:val="single" w:sz="4" w:space="0" w:color="auto"/>
              <w:bottom w:val="single" w:sz="12" w:space="0" w:color="auto"/>
            </w:tcBorders>
            <w:vAlign w:val="bottom"/>
          </w:tcPr>
          <w:p w14:paraId="6034CBF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9254C">
              <w:rPr>
                <w:i/>
                <w:sz w:val="14"/>
                <w:lang w:val="en-GB"/>
              </w:rPr>
              <w:t>Category</w:t>
            </w:r>
          </w:p>
        </w:tc>
        <w:tc>
          <w:tcPr>
            <w:tcW w:w="3660" w:type="dxa"/>
            <w:tcBorders>
              <w:top w:val="single" w:sz="4" w:space="0" w:color="auto"/>
              <w:bottom w:val="single" w:sz="12" w:space="0" w:color="auto"/>
            </w:tcBorders>
            <w:vAlign w:val="bottom"/>
          </w:tcPr>
          <w:p w14:paraId="6481EB1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2025/26</w:t>
            </w:r>
          </w:p>
        </w:tc>
      </w:tr>
      <w:tr w:rsidR="00697ECA" w:rsidRPr="00B9254C" w14:paraId="55AB7A59" w14:textId="77777777" w:rsidTr="00697ECA">
        <w:trPr>
          <w:trHeight w:hRule="exact" w:val="115"/>
          <w:tblHeader/>
        </w:trPr>
        <w:tc>
          <w:tcPr>
            <w:tcW w:w="3660" w:type="dxa"/>
            <w:tcBorders>
              <w:top w:val="single" w:sz="12" w:space="0" w:color="auto"/>
            </w:tcBorders>
            <w:vAlign w:val="bottom"/>
          </w:tcPr>
          <w:p w14:paraId="4B3CB95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60" w:type="dxa"/>
            <w:tcBorders>
              <w:top w:val="single" w:sz="12" w:space="0" w:color="auto"/>
            </w:tcBorders>
            <w:vAlign w:val="bottom"/>
          </w:tcPr>
          <w:p w14:paraId="739FD49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697ECA" w:rsidRPr="00B9254C" w14:paraId="01D58A9B" w14:textId="77777777" w:rsidTr="00697ECA">
        <w:tc>
          <w:tcPr>
            <w:tcW w:w="3660" w:type="dxa"/>
            <w:vAlign w:val="bottom"/>
          </w:tcPr>
          <w:p w14:paraId="0B5FC2E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9254C">
              <w:rPr>
                <w:b/>
                <w:bCs/>
                <w:sz w:val="17"/>
                <w:lang w:val="en-GB"/>
              </w:rPr>
              <w:t>Civilian personnel</w:t>
            </w:r>
          </w:p>
        </w:tc>
        <w:tc>
          <w:tcPr>
            <w:tcW w:w="3660" w:type="dxa"/>
            <w:vAlign w:val="bottom"/>
          </w:tcPr>
          <w:p w14:paraId="73C5AEF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697ECA" w:rsidRPr="00B9254C" w14:paraId="79557BC3" w14:textId="77777777" w:rsidTr="00697ECA">
        <w:tc>
          <w:tcPr>
            <w:tcW w:w="3660" w:type="dxa"/>
            <w:vAlign w:val="bottom"/>
          </w:tcPr>
          <w:p w14:paraId="7833063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United Nations Volunteer</w:t>
            </w:r>
          </w:p>
        </w:tc>
        <w:tc>
          <w:tcPr>
            <w:tcW w:w="3660" w:type="dxa"/>
            <w:vAlign w:val="bottom"/>
          </w:tcPr>
          <w:p w14:paraId="5881743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2 906.0</w:t>
            </w:r>
          </w:p>
        </w:tc>
      </w:tr>
      <w:tr w:rsidR="00697ECA" w:rsidRPr="00B9254C" w14:paraId="2C863884" w14:textId="77777777" w:rsidTr="00697ECA">
        <w:tc>
          <w:tcPr>
            <w:tcW w:w="3660" w:type="dxa"/>
            <w:tcBorders>
              <w:bottom w:val="single" w:sz="4" w:space="0" w:color="auto"/>
            </w:tcBorders>
            <w:vAlign w:val="bottom"/>
          </w:tcPr>
          <w:p w14:paraId="5F79D0B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B9254C">
              <w:rPr>
                <w:sz w:val="17"/>
                <w:lang w:val="en-GB"/>
              </w:rPr>
              <w:t>General temporary assistance</w:t>
            </w:r>
          </w:p>
        </w:tc>
        <w:tc>
          <w:tcPr>
            <w:tcW w:w="3660" w:type="dxa"/>
            <w:tcBorders>
              <w:bottom w:val="single" w:sz="4" w:space="0" w:color="auto"/>
            </w:tcBorders>
            <w:vAlign w:val="bottom"/>
          </w:tcPr>
          <w:p w14:paraId="5F49C7E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7 922.9</w:t>
            </w:r>
          </w:p>
        </w:tc>
      </w:tr>
      <w:tr w:rsidR="00697ECA" w:rsidRPr="00B9254C" w14:paraId="55DE9349" w14:textId="77777777" w:rsidTr="00697ECA">
        <w:tc>
          <w:tcPr>
            <w:tcW w:w="3660" w:type="dxa"/>
            <w:tcBorders>
              <w:top w:val="single" w:sz="4" w:space="0" w:color="auto"/>
              <w:bottom w:val="single" w:sz="4" w:space="0" w:color="auto"/>
            </w:tcBorders>
            <w:vAlign w:val="bottom"/>
          </w:tcPr>
          <w:p w14:paraId="3432ECC1" w14:textId="2E818BEA"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B9254C">
              <w:rPr>
                <w:b/>
                <w:sz w:val="17"/>
                <w:lang w:val="en-GB"/>
              </w:rPr>
              <w:tab/>
              <w:t>Subtotal</w:t>
            </w:r>
          </w:p>
        </w:tc>
        <w:tc>
          <w:tcPr>
            <w:tcW w:w="3660" w:type="dxa"/>
            <w:tcBorders>
              <w:top w:val="single" w:sz="4" w:space="0" w:color="auto"/>
              <w:bottom w:val="single" w:sz="4" w:space="0" w:color="auto"/>
            </w:tcBorders>
            <w:vAlign w:val="bottom"/>
          </w:tcPr>
          <w:p w14:paraId="20B188E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10 828.9</w:t>
            </w:r>
          </w:p>
        </w:tc>
      </w:tr>
      <w:tr w:rsidR="00697ECA" w:rsidRPr="00B9254C" w14:paraId="3D76D038" w14:textId="77777777" w:rsidTr="00697ECA">
        <w:tc>
          <w:tcPr>
            <w:tcW w:w="3660" w:type="dxa"/>
            <w:tcBorders>
              <w:top w:val="single" w:sz="4" w:space="0" w:color="auto"/>
            </w:tcBorders>
            <w:vAlign w:val="bottom"/>
          </w:tcPr>
          <w:p w14:paraId="56C5314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B9254C">
              <w:rPr>
                <w:b/>
                <w:bCs/>
                <w:sz w:val="17"/>
                <w:lang w:val="en-GB"/>
              </w:rPr>
              <w:t>Operational costs</w:t>
            </w:r>
          </w:p>
        </w:tc>
        <w:tc>
          <w:tcPr>
            <w:tcW w:w="3660" w:type="dxa"/>
            <w:tcBorders>
              <w:top w:val="single" w:sz="4" w:space="0" w:color="auto"/>
            </w:tcBorders>
            <w:vAlign w:val="bottom"/>
          </w:tcPr>
          <w:p w14:paraId="6600883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697ECA" w:rsidRPr="00B9254C" w14:paraId="224BF446" w14:textId="77777777" w:rsidTr="00697ECA">
        <w:tc>
          <w:tcPr>
            <w:tcW w:w="3660" w:type="dxa"/>
            <w:vAlign w:val="bottom"/>
          </w:tcPr>
          <w:p w14:paraId="121EC23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Official travel</w:t>
            </w:r>
          </w:p>
        </w:tc>
        <w:tc>
          <w:tcPr>
            <w:tcW w:w="3660" w:type="dxa"/>
            <w:vAlign w:val="bottom"/>
          </w:tcPr>
          <w:p w14:paraId="410CC77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133.8</w:t>
            </w:r>
          </w:p>
        </w:tc>
      </w:tr>
      <w:tr w:rsidR="00697ECA" w:rsidRPr="00B9254C" w14:paraId="1653897D" w14:textId="77777777" w:rsidTr="00697ECA">
        <w:tc>
          <w:tcPr>
            <w:tcW w:w="3660" w:type="dxa"/>
            <w:vAlign w:val="bottom"/>
          </w:tcPr>
          <w:p w14:paraId="56E6DA1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Facilities and infrastructure</w:t>
            </w:r>
          </w:p>
        </w:tc>
        <w:tc>
          <w:tcPr>
            <w:tcW w:w="3660" w:type="dxa"/>
            <w:vAlign w:val="bottom"/>
          </w:tcPr>
          <w:p w14:paraId="7148F10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104.5</w:t>
            </w:r>
          </w:p>
        </w:tc>
      </w:tr>
      <w:tr w:rsidR="00697ECA" w:rsidRPr="00B9254C" w14:paraId="53364C1C" w14:textId="77777777" w:rsidTr="00697ECA">
        <w:tc>
          <w:tcPr>
            <w:tcW w:w="3660" w:type="dxa"/>
            <w:vAlign w:val="bottom"/>
          </w:tcPr>
          <w:p w14:paraId="1DCE424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Ground transportation</w:t>
            </w:r>
          </w:p>
        </w:tc>
        <w:tc>
          <w:tcPr>
            <w:tcW w:w="3660" w:type="dxa"/>
            <w:vAlign w:val="bottom"/>
          </w:tcPr>
          <w:p w14:paraId="0CD1444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174.1</w:t>
            </w:r>
          </w:p>
        </w:tc>
      </w:tr>
      <w:tr w:rsidR="00697ECA" w:rsidRPr="00B9254C" w14:paraId="1758E032" w14:textId="77777777" w:rsidTr="00697ECA">
        <w:tc>
          <w:tcPr>
            <w:tcW w:w="3660" w:type="dxa"/>
            <w:vAlign w:val="bottom"/>
          </w:tcPr>
          <w:p w14:paraId="6512BDF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Air operations</w:t>
            </w:r>
          </w:p>
        </w:tc>
        <w:tc>
          <w:tcPr>
            <w:tcW w:w="3660" w:type="dxa"/>
            <w:vAlign w:val="bottom"/>
          </w:tcPr>
          <w:p w14:paraId="1B0E86D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6 628.4</w:t>
            </w:r>
          </w:p>
        </w:tc>
      </w:tr>
      <w:tr w:rsidR="00697ECA" w:rsidRPr="00B9254C" w14:paraId="7518475E" w14:textId="77777777" w:rsidTr="00697ECA">
        <w:tc>
          <w:tcPr>
            <w:tcW w:w="3660" w:type="dxa"/>
            <w:vAlign w:val="bottom"/>
          </w:tcPr>
          <w:p w14:paraId="479DA71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Communications and information technology</w:t>
            </w:r>
          </w:p>
        </w:tc>
        <w:tc>
          <w:tcPr>
            <w:tcW w:w="3660" w:type="dxa"/>
            <w:vAlign w:val="bottom"/>
          </w:tcPr>
          <w:p w14:paraId="061F2D4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701.3</w:t>
            </w:r>
          </w:p>
        </w:tc>
      </w:tr>
      <w:tr w:rsidR="00697ECA" w:rsidRPr="00B9254C" w14:paraId="64ECB8D0" w14:textId="77777777" w:rsidTr="00697ECA">
        <w:tc>
          <w:tcPr>
            <w:tcW w:w="3660" w:type="dxa"/>
            <w:tcBorders>
              <w:bottom w:val="single" w:sz="4" w:space="0" w:color="auto"/>
            </w:tcBorders>
            <w:vAlign w:val="bottom"/>
          </w:tcPr>
          <w:p w14:paraId="3F76CDC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B9254C">
              <w:rPr>
                <w:sz w:val="17"/>
                <w:lang w:val="en-GB"/>
              </w:rPr>
              <w:t>Other supplies, services and equipment</w:t>
            </w:r>
          </w:p>
        </w:tc>
        <w:tc>
          <w:tcPr>
            <w:tcW w:w="3660" w:type="dxa"/>
            <w:tcBorders>
              <w:bottom w:val="single" w:sz="4" w:space="0" w:color="auto"/>
            </w:tcBorders>
            <w:vAlign w:val="bottom"/>
          </w:tcPr>
          <w:p w14:paraId="4BC1CD4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B9254C">
              <w:rPr>
                <w:sz w:val="17"/>
                <w:lang w:val="en-GB"/>
              </w:rPr>
              <w:t>197.5</w:t>
            </w:r>
          </w:p>
        </w:tc>
      </w:tr>
      <w:tr w:rsidR="00697ECA" w:rsidRPr="00B9254C" w14:paraId="2E14257C" w14:textId="77777777" w:rsidTr="00697ECA">
        <w:tc>
          <w:tcPr>
            <w:tcW w:w="3660" w:type="dxa"/>
            <w:tcBorders>
              <w:top w:val="single" w:sz="4" w:space="0" w:color="auto"/>
              <w:bottom w:val="single" w:sz="4" w:space="0" w:color="auto"/>
            </w:tcBorders>
            <w:vAlign w:val="bottom"/>
          </w:tcPr>
          <w:p w14:paraId="687B0137" w14:textId="3AE152D8"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B9254C">
              <w:rPr>
                <w:b/>
                <w:sz w:val="17"/>
                <w:lang w:val="en-GB"/>
              </w:rPr>
              <w:tab/>
              <w:t>Subtotal</w:t>
            </w:r>
          </w:p>
        </w:tc>
        <w:tc>
          <w:tcPr>
            <w:tcW w:w="3660" w:type="dxa"/>
            <w:tcBorders>
              <w:top w:val="single" w:sz="4" w:space="0" w:color="auto"/>
              <w:bottom w:val="single" w:sz="4" w:space="0" w:color="auto"/>
            </w:tcBorders>
            <w:vAlign w:val="bottom"/>
          </w:tcPr>
          <w:p w14:paraId="51EA8C4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7 939.6</w:t>
            </w:r>
          </w:p>
        </w:tc>
      </w:tr>
      <w:tr w:rsidR="00697ECA" w:rsidRPr="00B9254C" w14:paraId="23A57EA4" w14:textId="77777777" w:rsidTr="00697ECA">
        <w:tc>
          <w:tcPr>
            <w:tcW w:w="3660" w:type="dxa"/>
            <w:tcBorders>
              <w:top w:val="single" w:sz="4" w:space="0" w:color="auto"/>
              <w:bottom w:val="single" w:sz="12" w:space="0" w:color="auto"/>
            </w:tcBorders>
            <w:vAlign w:val="bottom"/>
          </w:tcPr>
          <w:p w14:paraId="55EEC788" w14:textId="71340334"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B9254C">
              <w:rPr>
                <w:b/>
                <w:sz w:val="17"/>
                <w:lang w:val="en-GB"/>
              </w:rPr>
              <w:tab/>
              <w:t>Total</w:t>
            </w:r>
          </w:p>
        </w:tc>
        <w:tc>
          <w:tcPr>
            <w:tcW w:w="3660" w:type="dxa"/>
            <w:tcBorders>
              <w:top w:val="single" w:sz="4" w:space="0" w:color="auto"/>
              <w:bottom w:val="single" w:sz="12" w:space="0" w:color="auto"/>
            </w:tcBorders>
            <w:vAlign w:val="bottom"/>
          </w:tcPr>
          <w:p w14:paraId="4469A32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18 768.5</w:t>
            </w:r>
          </w:p>
        </w:tc>
      </w:tr>
    </w:tbl>
    <w:p w14:paraId="1843CBA3" w14:textId="77777777" w:rsidR="00D87DC9" w:rsidRPr="00B9254C" w:rsidRDefault="00D87DC9" w:rsidP="00E90676">
      <w:pPr>
        <w:pStyle w:val="SingleTxt"/>
        <w:spacing w:after="0" w:line="120" w:lineRule="exact"/>
        <w:rPr>
          <w:sz w:val="10"/>
          <w:lang w:val="en-GB"/>
        </w:rPr>
      </w:pPr>
    </w:p>
    <w:p w14:paraId="7A82D1C4" w14:textId="77777777" w:rsidR="00E90676" w:rsidRPr="00B9254C" w:rsidRDefault="00E90676" w:rsidP="00E90676">
      <w:pPr>
        <w:pStyle w:val="SingleTxt"/>
        <w:spacing w:after="0" w:line="120" w:lineRule="exact"/>
        <w:rPr>
          <w:sz w:val="10"/>
          <w:lang w:val="en-GB"/>
        </w:rPr>
      </w:pPr>
    </w:p>
    <w:p w14:paraId="7BE7FC29" w14:textId="77777777" w:rsidR="00D87DC9" w:rsidRPr="00B9254C" w:rsidRDefault="00D87DC9" w:rsidP="00D87DC9">
      <w:pPr>
        <w:pStyle w:val="SingleTxt"/>
        <w:rPr>
          <w:lang w:val="en-GB"/>
        </w:rPr>
      </w:pPr>
      <w:r w:rsidRPr="00B9254C">
        <w:rPr>
          <w:lang w:val="en-GB"/>
        </w:rPr>
        <w:t>19.</w:t>
      </w:r>
      <w:r w:rsidRPr="00B9254C">
        <w:rPr>
          <w:lang w:val="en-GB"/>
        </w:rPr>
        <w:tab/>
      </w:r>
      <w:r w:rsidRPr="00B9254C">
        <w:rPr>
          <w:b/>
          <w:bCs/>
          <w:lang w:val="en-GB"/>
        </w:rPr>
        <w:t>The Advisory Committee trusts that applicable lessons learned from MINUSCA will be recorded and applied, as appropriate, to other peacekeeping operations, including as it pertains to the conclusion of the electoral support mandate and the transition of post-electoral support to other entities.</w:t>
      </w:r>
    </w:p>
    <w:p w14:paraId="0DC1A9D5" w14:textId="77777777" w:rsidR="00D87DC9" w:rsidRPr="00B9254C" w:rsidRDefault="00D87DC9" w:rsidP="00E90676">
      <w:pPr>
        <w:pStyle w:val="SingleTxt"/>
        <w:spacing w:after="0" w:line="120" w:lineRule="exact"/>
        <w:rPr>
          <w:sz w:val="10"/>
          <w:lang w:val="en-GB"/>
        </w:rPr>
      </w:pPr>
    </w:p>
    <w:p w14:paraId="599D0A72" w14:textId="51A04278" w:rsidR="00D87DC9" w:rsidRPr="00B9254C" w:rsidRDefault="00E90676"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1.</w:t>
      </w:r>
      <w:r w:rsidR="00D87DC9" w:rsidRPr="00B9254C">
        <w:rPr>
          <w:lang w:val="en-GB"/>
        </w:rPr>
        <w:tab/>
        <w:t>Military and police personnel</w:t>
      </w:r>
    </w:p>
    <w:p w14:paraId="2DBEEF88" w14:textId="77777777" w:rsidR="00E90676" w:rsidRPr="00B9254C" w:rsidRDefault="00E90676" w:rsidP="00E90676">
      <w:pPr>
        <w:pStyle w:val="SingleTxt"/>
        <w:spacing w:after="0" w:line="120" w:lineRule="exact"/>
        <w:rPr>
          <w:sz w:val="10"/>
          <w:lang w:val="en-GB"/>
        </w:rPr>
      </w:pPr>
    </w:p>
    <w:p w14:paraId="17BA5363" w14:textId="77777777" w:rsidR="00E90676" w:rsidRPr="00B9254C" w:rsidRDefault="00E90676" w:rsidP="00E90676">
      <w:pPr>
        <w:pStyle w:val="SingleTxt"/>
        <w:spacing w:after="0" w:line="120" w:lineRule="exact"/>
        <w:rPr>
          <w:sz w:val="10"/>
          <w:lang w:val="en-GB"/>
        </w:rPr>
      </w:pPr>
    </w:p>
    <w:tbl>
      <w:tblPr>
        <w:tblStyle w:val="TableGrid"/>
        <w:tblW w:w="8580" w:type="dxa"/>
        <w:tblInd w:w="1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1"/>
        <w:gridCol w:w="1026"/>
        <w:gridCol w:w="1027"/>
        <w:gridCol w:w="1026"/>
        <w:gridCol w:w="1027"/>
        <w:gridCol w:w="1026"/>
        <w:gridCol w:w="1027"/>
      </w:tblGrid>
      <w:tr w:rsidR="00697ECA" w:rsidRPr="00B9254C" w14:paraId="4432B11E" w14:textId="77777777" w:rsidTr="00697ECA">
        <w:trPr>
          <w:tblHeader/>
        </w:trPr>
        <w:tc>
          <w:tcPr>
            <w:tcW w:w="2421" w:type="dxa"/>
            <w:tcBorders>
              <w:top w:val="single" w:sz="4" w:space="0" w:color="auto"/>
              <w:bottom w:val="single" w:sz="12" w:space="0" w:color="auto"/>
            </w:tcBorders>
            <w:vAlign w:val="bottom"/>
          </w:tcPr>
          <w:p w14:paraId="012A474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9254C">
              <w:rPr>
                <w:i/>
                <w:sz w:val="14"/>
                <w:lang w:val="en-GB"/>
              </w:rPr>
              <w:t>Category</w:t>
            </w:r>
          </w:p>
        </w:tc>
        <w:tc>
          <w:tcPr>
            <w:tcW w:w="1026" w:type="dxa"/>
            <w:tcBorders>
              <w:top w:val="single" w:sz="4" w:space="0" w:color="auto"/>
              <w:bottom w:val="single" w:sz="12" w:space="0" w:color="auto"/>
            </w:tcBorders>
            <w:vAlign w:val="bottom"/>
          </w:tcPr>
          <w:p w14:paraId="4DFDC1B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Authorized 2024/25</w:t>
            </w:r>
            <w:r w:rsidRPr="00B9254C">
              <w:rPr>
                <w:i/>
                <w:sz w:val="14"/>
                <w:vertAlign w:val="superscript"/>
                <w:lang w:val="en-GB"/>
              </w:rPr>
              <w:t>a</w:t>
            </w:r>
          </w:p>
        </w:tc>
        <w:tc>
          <w:tcPr>
            <w:tcW w:w="1027" w:type="dxa"/>
            <w:tcBorders>
              <w:top w:val="single" w:sz="4" w:space="0" w:color="auto"/>
              <w:bottom w:val="single" w:sz="12" w:space="0" w:color="auto"/>
            </w:tcBorders>
            <w:vAlign w:val="bottom"/>
          </w:tcPr>
          <w:p w14:paraId="1AFD6F8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Actual as at 30 June 2025</w:t>
            </w:r>
          </w:p>
        </w:tc>
        <w:tc>
          <w:tcPr>
            <w:tcW w:w="1026" w:type="dxa"/>
            <w:tcBorders>
              <w:top w:val="single" w:sz="4" w:space="0" w:color="auto"/>
              <w:bottom w:val="single" w:sz="12" w:space="0" w:color="auto"/>
            </w:tcBorders>
            <w:vAlign w:val="bottom"/>
          </w:tcPr>
          <w:p w14:paraId="07ACA8D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Authorized 2025/26</w:t>
            </w:r>
            <w:r w:rsidRPr="00B9254C">
              <w:rPr>
                <w:i/>
                <w:sz w:val="14"/>
                <w:vertAlign w:val="superscript"/>
                <w:lang w:val="en-GB"/>
              </w:rPr>
              <w:t>a</w:t>
            </w:r>
          </w:p>
        </w:tc>
        <w:tc>
          <w:tcPr>
            <w:tcW w:w="1027" w:type="dxa"/>
            <w:tcBorders>
              <w:top w:val="single" w:sz="4" w:space="0" w:color="auto"/>
              <w:bottom w:val="single" w:sz="12" w:space="0" w:color="auto"/>
            </w:tcBorders>
            <w:vAlign w:val="bottom"/>
          </w:tcPr>
          <w:p w14:paraId="05D64AA7" w14:textId="4400BDA3"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Actual as at 28 February 2026</w:t>
            </w:r>
          </w:p>
        </w:tc>
        <w:tc>
          <w:tcPr>
            <w:tcW w:w="1026" w:type="dxa"/>
            <w:tcBorders>
              <w:top w:val="single" w:sz="4" w:space="0" w:color="auto"/>
              <w:bottom w:val="single" w:sz="12" w:space="0" w:color="auto"/>
            </w:tcBorders>
            <w:vAlign w:val="bottom"/>
          </w:tcPr>
          <w:p w14:paraId="08FA968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Authorized and proposed 2026/27</w:t>
            </w:r>
          </w:p>
        </w:tc>
        <w:tc>
          <w:tcPr>
            <w:tcW w:w="1027" w:type="dxa"/>
            <w:tcBorders>
              <w:top w:val="single" w:sz="4" w:space="0" w:color="auto"/>
              <w:bottom w:val="single" w:sz="12" w:space="0" w:color="auto"/>
            </w:tcBorders>
            <w:vAlign w:val="bottom"/>
          </w:tcPr>
          <w:p w14:paraId="106D72D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Variance</w:t>
            </w:r>
          </w:p>
        </w:tc>
      </w:tr>
      <w:tr w:rsidR="00697ECA" w:rsidRPr="00B9254C" w14:paraId="0182794E" w14:textId="77777777" w:rsidTr="00697ECA">
        <w:trPr>
          <w:trHeight w:hRule="exact" w:val="115"/>
          <w:tblHeader/>
        </w:trPr>
        <w:tc>
          <w:tcPr>
            <w:tcW w:w="2421" w:type="dxa"/>
            <w:tcBorders>
              <w:top w:val="single" w:sz="12" w:space="0" w:color="auto"/>
            </w:tcBorders>
            <w:vAlign w:val="bottom"/>
          </w:tcPr>
          <w:p w14:paraId="412F4EF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26" w:type="dxa"/>
            <w:tcBorders>
              <w:top w:val="single" w:sz="12" w:space="0" w:color="auto"/>
            </w:tcBorders>
            <w:vAlign w:val="bottom"/>
          </w:tcPr>
          <w:p w14:paraId="4EF45E0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27" w:type="dxa"/>
            <w:tcBorders>
              <w:top w:val="single" w:sz="12" w:space="0" w:color="auto"/>
            </w:tcBorders>
            <w:vAlign w:val="bottom"/>
          </w:tcPr>
          <w:p w14:paraId="0FC7EA4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26" w:type="dxa"/>
            <w:tcBorders>
              <w:top w:val="single" w:sz="12" w:space="0" w:color="auto"/>
            </w:tcBorders>
            <w:vAlign w:val="bottom"/>
          </w:tcPr>
          <w:p w14:paraId="0373F81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27" w:type="dxa"/>
            <w:tcBorders>
              <w:top w:val="single" w:sz="12" w:space="0" w:color="auto"/>
            </w:tcBorders>
            <w:vAlign w:val="bottom"/>
          </w:tcPr>
          <w:p w14:paraId="13026B9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26" w:type="dxa"/>
            <w:tcBorders>
              <w:top w:val="single" w:sz="12" w:space="0" w:color="auto"/>
            </w:tcBorders>
            <w:vAlign w:val="bottom"/>
          </w:tcPr>
          <w:p w14:paraId="5EE57D4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27" w:type="dxa"/>
            <w:tcBorders>
              <w:top w:val="single" w:sz="12" w:space="0" w:color="auto"/>
            </w:tcBorders>
            <w:vAlign w:val="bottom"/>
          </w:tcPr>
          <w:p w14:paraId="25030FD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697ECA" w:rsidRPr="00B9254C" w14:paraId="12BEC03A" w14:textId="77777777" w:rsidTr="00697ECA">
        <w:tc>
          <w:tcPr>
            <w:tcW w:w="2421" w:type="dxa"/>
            <w:vAlign w:val="bottom"/>
          </w:tcPr>
          <w:p w14:paraId="67C1933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9254C">
              <w:rPr>
                <w:b/>
                <w:bCs/>
                <w:sz w:val="17"/>
                <w:lang w:val="en-GB"/>
              </w:rPr>
              <w:t>Military and police personnel</w:t>
            </w:r>
          </w:p>
        </w:tc>
        <w:tc>
          <w:tcPr>
            <w:tcW w:w="1026" w:type="dxa"/>
            <w:vAlign w:val="bottom"/>
          </w:tcPr>
          <w:p w14:paraId="083A154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27" w:type="dxa"/>
            <w:vAlign w:val="bottom"/>
          </w:tcPr>
          <w:p w14:paraId="374F0C4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26" w:type="dxa"/>
            <w:vAlign w:val="bottom"/>
          </w:tcPr>
          <w:p w14:paraId="6E96BE3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27" w:type="dxa"/>
            <w:vAlign w:val="bottom"/>
          </w:tcPr>
          <w:p w14:paraId="280BDCD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26" w:type="dxa"/>
            <w:vAlign w:val="bottom"/>
          </w:tcPr>
          <w:p w14:paraId="6A24A31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27" w:type="dxa"/>
            <w:vAlign w:val="bottom"/>
          </w:tcPr>
          <w:p w14:paraId="1A91618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697ECA" w:rsidRPr="00B9254C" w14:paraId="179AC308" w14:textId="77777777" w:rsidTr="00697ECA">
        <w:tc>
          <w:tcPr>
            <w:tcW w:w="2421" w:type="dxa"/>
            <w:vAlign w:val="bottom"/>
          </w:tcPr>
          <w:p w14:paraId="3AE1308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Military observers</w:t>
            </w:r>
          </w:p>
        </w:tc>
        <w:tc>
          <w:tcPr>
            <w:tcW w:w="1026" w:type="dxa"/>
            <w:vAlign w:val="bottom"/>
          </w:tcPr>
          <w:p w14:paraId="6C0FCBD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155</w:t>
            </w:r>
          </w:p>
        </w:tc>
        <w:tc>
          <w:tcPr>
            <w:tcW w:w="1027" w:type="dxa"/>
            <w:vAlign w:val="bottom"/>
          </w:tcPr>
          <w:p w14:paraId="350BC94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155</w:t>
            </w:r>
          </w:p>
        </w:tc>
        <w:tc>
          <w:tcPr>
            <w:tcW w:w="1026" w:type="dxa"/>
            <w:vAlign w:val="bottom"/>
          </w:tcPr>
          <w:p w14:paraId="203672D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155</w:t>
            </w:r>
          </w:p>
        </w:tc>
        <w:tc>
          <w:tcPr>
            <w:tcW w:w="1027" w:type="dxa"/>
            <w:vAlign w:val="bottom"/>
          </w:tcPr>
          <w:p w14:paraId="63E0F3E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95</w:t>
            </w:r>
          </w:p>
        </w:tc>
        <w:tc>
          <w:tcPr>
            <w:tcW w:w="1026" w:type="dxa"/>
            <w:vAlign w:val="bottom"/>
          </w:tcPr>
          <w:p w14:paraId="47F9D58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155</w:t>
            </w:r>
          </w:p>
        </w:tc>
        <w:tc>
          <w:tcPr>
            <w:tcW w:w="1027" w:type="dxa"/>
            <w:vAlign w:val="bottom"/>
          </w:tcPr>
          <w:p w14:paraId="5681C2D5" w14:textId="2D189928" w:rsidR="00697ECA" w:rsidRPr="00B9254C" w:rsidRDefault="00DE7052"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w:t>
            </w:r>
          </w:p>
        </w:tc>
      </w:tr>
      <w:tr w:rsidR="00697ECA" w:rsidRPr="00B9254C" w14:paraId="14947BDA" w14:textId="77777777" w:rsidTr="00697ECA">
        <w:tc>
          <w:tcPr>
            <w:tcW w:w="2421" w:type="dxa"/>
            <w:vAlign w:val="bottom"/>
          </w:tcPr>
          <w:p w14:paraId="2738D94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Military contingents</w:t>
            </w:r>
          </w:p>
        </w:tc>
        <w:tc>
          <w:tcPr>
            <w:tcW w:w="1026" w:type="dxa"/>
            <w:vAlign w:val="bottom"/>
          </w:tcPr>
          <w:p w14:paraId="4AF37A2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14 245</w:t>
            </w:r>
          </w:p>
        </w:tc>
        <w:tc>
          <w:tcPr>
            <w:tcW w:w="1027" w:type="dxa"/>
            <w:vAlign w:val="bottom"/>
          </w:tcPr>
          <w:p w14:paraId="79A2782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13 962</w:t>
            </w:r>
          </w:p>
        </w:tc>
        <w:tc>
          <w:tcPr>
            <w:tcW w:w="1026" w:type="dxa"/>
            <w:vAlign w:val="bottom"/>
          </w:tcPr>
          <w:p w14:paraId="68E809F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14 245</w:t>
            </w:r>
          </w:p>
        </w:tc>
        <w:tc>
          <w:tcPr>
            <w:tcW w:w="1027" w:type="dxa"/>
            <w:vAlign w:val="bottom"/>
          </w:tcPr>
          <w:p w14:paraId="28D24EF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12 056</w:t>
            </w:r>
          </w:p>
        </w:tc>
        <w:tc>
          <w:tcPr>
            <w:tcW w:w="1026" w:type="dxa"/>
            <w:vAlign w:val="bottom"/>
          </w:tcPr>
          <w:p w14:paraId="272C79E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13 891</w:t>
            </w:r>
          </w:p>
        </w:tc>
        <w:tc>
          <w:tcPr>
            <w:tcW w:w="1027" w:type="dxa"/>
            <w:vAlign w:val="bottom"/>
          </w:tcPr>
          <w:p w14:paraId="704E604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(354)</w:t>
            </w:r>
          </w:p>
        </w:tc>
      </w:tr>
      <w:tr w:rsidR="00697ECA" w:rsidRPr="00B9254C" w14:paraId="7419F694" w14:textId="77777777" w:rsidTr="00697ECA">
        <w:tc>
          <w:tcPr>
            <w:tcW w:w="2421" w:type="dxa"/>
            <w:vAlign w:val="bottom"/>
          </w:tcPr>
          <w:p w14:paraId="1F601E6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United Nations police</w:t>
            </w:r>
          </w:p>
        </w:tc>
        <w:tc>
          <w:tcPr>
            <w:tcW w:w="1026" w:type="dxa"/>
            <w:vAlign w:val="bottom"/>
          </w:tcPr>
          <w:p w14:paraId="457A545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600</w:t>
            </w:r>
          </w:p>
        </w:tc>
        <w:tc>
          <w:tcPr>
            <w:tcW w:w="1027" w:type="dxa"/>
            <w:vAlign w:val="bottom"/>
          </w:tcPr>
          <w:p w14:paraId="0101828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597</w:t>
            </w:r>
          </w:p>
        </w:tc>
        <w:tc>
          <w:tcPr>
            <w:tcW w:w="1026" w:type="dxa"/>
            <w:vAlign w:val="bottom"/>
          </w:tcPr>
          <w:p w14:paraId="31F9BD2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600</w:t>
            </w:r>
          </w:p>
        </w:tc>
        <w:tc>
          <w:tcPr>
            <w:tcW w:w="1027" w:type="dxa"/>
            <w:vAlign w:val="bottom"/>
          </w:tcPr>
          <w:p w14:paraId="54DB476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414</w:t>
            </w:r>
          </w:p>
        </w:tc>
        <w:tc>
          <w:tcPr>
            <w:tcW w:w="1026" w:type="dxa"/>
            <w:vAlign w:val="bottom"/>
          </w:tcPr>
          <w:p w14:paraId="7B4F40E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589</w:t>
            </w:r>
          </w:p>
        </w:tc>
        <w:tc>
          <w:tcPr>
            <w:tcW w:w="1027" w:type="dxa"/>
            <w:vAlign w:val="bottom"/>
          </w:tcPr>
          <w:p w14:paraId="2A78BCA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(11)</w:t>
            </w:r>
          </w:p>
        </w:tc>
      </w:tr>
      <w:tr w:rsidR="00697ECA" w:rsidRPr="00B9254C" w14:paraId="049DF2D2" w14:textId="77777777" w:rsidTr="00697ECA">
        <w:tc>
          <w:tcPr>
            <w:tcW w:w="2421" w:type="dxa"/>
            <w:tcBorders>
              <w:bottom w:val="single" w:sz="12" w:space="0" w:color="auto"/>
            </w:tcBorders>
            <w:vAlign w:val="bottom"/>
          </w:tcPr>
          <w:p w14:paraId="23158B1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Formed police units</w:t>
            </w:r>
          </w:p>
        </w:tc>
        <w:tc>
          <w:tcPr>
            <w:tcW w:w="1026" w:type="dxa"/>
            <w:tcBorders>
              <w:bottom w:val="single" w:sz="12" w:space="0" w:color="auto"/>
            </w:tcBorders>
            <w:vAlign w:val="bottom"/>
          </w:tcPr>
          <w:p w14:paraId="0C84FC6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2 420</w:t>
            </w:r>
          </w:p>
        </w:tc>
        <w:tc>
          <w:tcPr>
            <w:tcW w:w="1027" w:type="dxa"/>
            <w:tcBorders>
              <w:bottom w:val="single" w:sz="12" w:space="0" w:color="auto"/>
            </w:tcBorders>
            <w:vAlign w:val="bottom"/>
          </w:tcPr>
          <w:p w14:paraId="64D373C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2 418</w:t>
            </w:r>
          </w:p>
        </w:tc>
        <w:tc>
          <w:tcPr>
            <w:tcW w:w="1026" w:type="dxa"/>
            <w:tcBorders>
              <w:bottom w:val="single" w:sz="12" w:space="0" w:color="auto"/>
            </w:tcBorders>
            <w:vAlign w:val="bottom"/>
          </w:tcPr>
          <w:p w14:paraId="1F0D5EE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2 420</w:t>
            </w:r>
          </w:p>
        </w:tc>
        <w:tc>
          <w:tcPr>
            <w:tcW w:w="1027" w:type="dxa"/>
            <w:tcBorders>
              <w:bottom w:val="single" w:sz="12" w:space="0" w:color="auto"/>
            </w:tcBorders>
            <w:vAlign w:val="bottom"/>
          </w:tcPr>
          <w:p w14:paraId="5EFE93F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1 844</w:t>
            </w:r>
          </w:p>
        </w:tc>
        <w:tc>
          <w:tcPr>
            <w:tcW w:w="1026" w:type="dxa"/>
            <w:tcBorders>
              <w:bottom w:val="single" w:sz="12" w:space="0" w:color="auto"/>
            </w:tcBorders>
            <w:vAlign w:val="bottom"/>
          </w:tcPr>
          <w:p w14:paraId="677E5E1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2 410</w:t>
            </w:r>
          </w:p>
        </w:tc>
        <w:tc>
          <w:tcPr>
            <w:tcW w:w="1027" w:type="dxa"/>
            <w:tcBorders>
              <w:bottom w:val="single" w:sz="12" w:space="0" w:color="auto"/>
            </w:tcBorders>
            <w:vAlign w:val="bottom"/>
          </w:tcPr>
          <w:p w14:paraId="75EC748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9254C">
              <w:rPr>
                <w:sz w:val="17"/>
                <w:lang w:val="en-GB"/>
              </w:rPr>
              <w:t>(10)</w:t>
            </w:r>
          </w:p>
        </w:tc>
      </w:tr>
    </w:tbl>
    <w:p w14:paraId="24049AF2" w14:textId="77777777" w:rsidR="00E90676" w:rsidRPr="00B9254C" w:rsidRDefault="00E90676" w:rsidP="00E90676">
      <w:pPr>
        <w:pStyle w:val="SingleTxt"/>
        <w:spacing w:after="0" w:line="120" w:lineRule="exact"/>
        <w:rPr>
          <w:sz w:val="10"/>
          <w:lang w:val="en-GB"/>
        </w:rPr>
      </w:pPr>
    </w:p>
    <w:p w14:paraId="3F04CCB9" w14:textId="3DC35CD8" w:rsidR="00D87DC9" w:rsidRPr="00B9254C" w:rsidRDefault="00E90676" w:rsidP="00697ECA">
      <w:pPr>
        <w:pStyle w:val="FootnoteText"/>
        <w:tabs>
          <w:tab w:val="clear" w:pos="418"/>
          <w:tab w:val="right" w:pos="1476"/>
          <w:tab w:val="left" w:pos="1548"/>
          <w:tab w:val="right" w:pos="1836"/>
          <w:tab w:val="left" w:pos="1908"/>
        </w:tabs>
        <w:ind w:left="1548" w:hanging="288"/>
        <w:rPr>
          <w:lang w:val="en-GB"/>
        </w:rPr>
      </w:pPr>
      <w:r w:rsidRPr="00B9254C">
        <w:rPr>
          <w:lang w:val="en-GB"/>
        </w:rPr>
        <w:tab/>
      </w:r>
      <w:r w:rsidR="00D87DC9" w:rsidRPr="00B9254C">
        <w:rPr>
          <w:i/>
          <w:iCs/>
          <w:vertAlign w:val="superscript"/>
          <w:lang w:val="en-GB"/>
        </w:rPr>
        <w:t>a</w:t>
      </w:r>
      <w:r w:rsidRPr="00B9254C">
        <w:rPr>
          <w:lang w:val="en-GB"/>
        </w:rPr>
        <w:tab/>
      </w:r>
      <w:r w:rsidR="00D87DC9" w:rsidRPr="00B9254C">
        <w:rPr>
          <w:lang w:val="en-GB"/>
        </w:rPr>
        <w:t>Represents the highest level of authorized strength.</w:t>
      </w:r>
    </w:p>
    <w:p w14:paraId="34C53626" w14:textId="77777777" w:rsidR="00D87DC9" w:rsidRPr="00B9254C" w:rsidRDefault="00D87DC9" w:rsidP="00E90676">
      <w:pPr>
        <w:pStyle w:val="SingleTxt"/>
        <w:spacing w:after="0" w:line="120" w:lineRule="exact"/>
        <w:rPr>
          <w:sz w:val="10"/>
          <w:lang w:val="en-GB"/>
        </w:rPr>
      </w:pPr>
    </w:p>
    <w:p w14:paraId="2AB5DD4E" w14:textId="77777777" w:rsidR="00E90676" w:rsidRPr="00B9254C" w:rsidRDefault="00E90676" w:rsidP="00E90676">
      <w:pPr>
        <w:pStyle w:val="SingleTxt"/>
        <w:spacing w:after="0" w:line="120" w:lineRule="exact"/>
        <w:rPr>
          <w:sz w:val="10"/>
          <w:lang w:val="en-GB"/>
        </w:rPr>
      </w:pPr>
    </w:p>
    <w:p w14:paraId="0CBB22AE" w14:textId="0C567132" w:rsidR="00D87DC9" w:rsidRPr="00B9254C" w:rsidRDefault="00697ECA"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 xml:space="preserve">Delayed deployment factors </w:t>
      </w:r>
    </w:p>
    <w:p w14:paraId="022E1CA5" w14:textId="5A00E99B" w:rsidR="00D87DC9" w:rsidRPr="00B9254C" w:rsidRDefault="00D87DC9" w:rsidP="00697ECA">
      <w:pPr>
        <w:pStyle w:val="SingleTxt"/>
        <w:keepNext/>
        <w:keepLines/>
        <w:spacing w:after="0"/>
        <w:rPr>
          <w:sz w:val="14"/>
          <w:szCs w:val="14"/>
          <w:lang w:val="en-GB"/>
        </w:rPr>
      </w:pPr>
      <w:r w:rsidRPr="00B9254C">
        <w:rPr>
          <w:sz w:val="14"/>
          <w:szCs w:val="14"/>
          <w:lang w:val="en-GB"/>
        </w:rPr>
        <w:t>(Percentage of approved strength)</w:t>
      </w:r>
    </w:p>
    <w:p w14:paraId="3E0D9898" w14:textId="77777777" w:rsidR="00D87DC9" w:rsidRPr="00B9254C" w:rsidRDefault="00D87DC9" w:rsidP="00203135">
      <w:pPr>
        <w:pStyle w:val="SingleTxt"/>
        <w:keepNext/>
        <w:keepLines/>
        <w:spacing w:after="0" w:line="100" w:lineRule="exact"/>
        <w:rPr>
          <w:sz w:val="10"/>
          <w:lang w:val="en-GB"/>
        </w:rPr>
      </w:pPr>
    </w:p>
    <w:p w14:paraId="025A1C07" w14:textId="77777777" w:rsidR="00E90676" w:rsidRPr="00B9254C" w:rsidRDefault="00E90676" w:rsidP="00203135">
      <w:pPr>
        <w:pStyle w:val="SingleTxt"/>
        <w:keepNext/>
        <w:keepLines/>
        <w:spacing w:after="0" w:line="100" w:lineRule="exact"/>
        <w:rPr>
          <w:sz w:val="10"/>
          <w:lang w:val="en-GB"/>
        </w:rPr>
      </w:pPr>
    </w:p>
    <w:tbl>
      <w:tblPr>
        <w:tblStyle w:val="TableGrid"/>
        <w:tblW w:w="8598" w:type="dxa"/>
        <w:tblInd w:w="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7"/>
        <w:gridCol w:w="903"/>
        <w:gridCol w:w="904"/>
        <w:gridCol w:w="904"/>
        <w:gridCol w:w="1431"/>
        <w:gridCol w:w="1260"/>
        <w:gridCol w:w="939"/>
      </w:tblGrid>
      <w:tr w:rsidR="00697ECA" w:rsidRPr="00B9254C" w14:paraId="7C303463" w14:textId="77777777" w:rsidTr="005F00A8">
        <w:trPr>
          <w:tblHeader/>
        </w:trPr>
        <w:tc>
          <w:tcPr>
            <w:tcW w:w="2257" w:type="dxa"/>
            <w:tcBorders>
              <w:top w:val="single" w:sz="4" w:space="0" w:color="auto"/>
              <w:bottom w:val="single" w:sz="12" w:space="0" w:color="auto"/>
            </w:tcBorders>
            <w:vAlign w:val="bottom"/>
          </w:tcPr>
          <w:p w14:paraId="11B52964" w14:textId="77777777"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rPr>
                <w:i/>
                <w:sz w:val="14"/>
                <w:lang w:val="en-GB"/>
              </w:rPr>
            </w:pPr>
            <w:r w:rsidRPr="00B9254C">
              <w:rPr>
                <w:i/>
                <w:sz w:val="14"/>
                <w:lang w:val="en-GB"/>
              </w:rPr>
              <w:t>Category</w:t>
            </w:r>
          </w:p>
        </w:tc>
        <w:tc>
          <w:tcPr>
            <w:tcW w:w="903" w:type="dxa"/>
            <w:tcBorders>
              <w:top w:val="single" w:sz="4" w:space="0" w:color="auto"/>
              <w:bottom w:val="single" w:sz="12" w:space="0" w:color="auto"/>
            </w:tcBorders>
            <w:vAlign w:val="bottom"/>
          </w:tcPr>
          <w:p w14:paraId="6E018D29" w14:textId="77777777"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Budgeted 2024/25</w:t>
            </w:r>
          </w:p>
        </w:tc>
        <w:tc>
          <w:tcPr>
            <w:tcW w:w="904" w:type="dxa"/>
            <w:tcBorders>
              <w:top w:val="single" w:sz="4" w:space="0" w:color="auto"/>
              <w:bottom w:val="single" w:sz="12" w:space="0" w:color="auto"/>
            </w:tcBorders>
            <w:vAlign w:val="bottom"/>
          </w:tcPr>
          <w:p w14:paraId="4C9141B3" w14:textId="77777777"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Actual 2024/25</w:t>
            </w:r>
          </w:p>
        </w:tc>
        <w:tc>
          <w:tcPr>
            <w:tcW w:w="904" w:type="dxa"/>
            <w:tcBorders>
              <w:top w:val="single" w:sz="4" w:space="0" w:color="auto"/>
              <w:bottom w:val="single" w:sz="12" w:space="0" w:color="auto"/>
            </w:tcBorders>
            <w:vAlign w:val="bottom"/>
          </w:tcPr>
          <w:p w14:paraId="7B9247C4" w14:textId="77777777"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Budgeted 2025/26</w:t>
            </w:r>
          </w:p>
        </w:tc>
        <w:tc>
          <w:tcPr>
            <w:tcW w:w="1431" w:type="dxa"/>
            <w:tcBorders>
              <w:top w:val="single" w:sz="4" w:space="0" w:color="auto"/>
              <w:bottom w:val="single" w:sz="12" w:space="0" w:color="auto"/>
            </w:tcBorders>
            <w:vAlign w:val="bottom"/>
          </w:tcPr>
          <w:p w14:paraId="35D81EF1" w14:textId="5A614BC2"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Actual as at 28 February 2026</w:t>
            </w:r>
          </w:p>
        </w:tc>
        <w:tc>
          <w:tcPr>
            <w:tcW w:w="1260" w:type="dxa"/>
            <w:tcBorders>
              <w:top w:val="single" w:sz="4" w:space="0" w:color="auto"/>
              <w:bottom w:val="single" w:sz="12" w:space="0" w:color="auto"/>
            </w:tcBorders>
            <w:vAlign w:val="bottom"/>
          </w:tcPr>
          <w:p w14:paraId="3F27DD64" w14:textId="3695BBE5"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Actual average July</w:t>
            </w:r>
            <w:r w:rsidR="005F00A8" w:rsidRPr="00B9254C">
              <w:rPr>
                <w:i/>
                <w:sz w:val="14"/>
                <w:lang w:val="en-GB"/>
              </w:rPr>
              <w:t> </w:t>
            </w:r>
            <w:r w:rsidRPr="00B9254C">
              <w:rPr>
                <w:i/>
                <w:sz w:val="14"/>
                <w:lang w:val="en-GB"/>
              </w:rPr>
              <w:t>2025–February</w:t>
            </w:r>
            <w:r w:rsidR="005F00A8" w:rsidRPr="00B9254C">
              <w:rPr>
                <w:i/>
                <w:sz w:val="14"/>
                <w:lang w:val="en-GB"/>
              </w:rPr>
              <w:t> </w:t>
            </w:r>
            <w:r w:rsidRPr="00B9254C">
              <w:rPr>
                <w:i/>
                <w:sz w:val="14"/>
                <w:lang w:val="en-GB"/>
              </w:rPr>
              <w:t>2026</w:t>
            </w:r>
          </w:p>
        </w:tc>
        <w:tc>
          <w:tcPr>
            <w:tcW w:w="939" w:type="dxa"/>
            <w:tcBorders>
              <w:top w:val="single" w:sz="4" w:space="0" w:color="auto"/>
              <w:bottom w:val="single" w:sz="12" w:space="0" w:color="auto"/>
            </w:tcBorders>
            <w:vAlign w:val="bottom"/>
          </w:tcPr>
          <w:p w14:paraId="776516FF" w14:textId="77777777" w:rsidR="00697ECA" w:rsidRPr="00B9254C" w:rsidRDefault="00697ECA" w:rsidP="00171E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Projected 2026/27</w:t>
            </w:r>
          </w:p>
        </w:tc>
      </w:tr>
      <w:tr w:rsidR="00697ECA" w:rsidRPr="00B9254C" w14:paraId="60861465" w14:textId="77777777" w:rsidTr="005F00A8">
        <w:trPr>
          <w:trHeight w:hRule="exact" w:val="115"/>
          <w:tblHeader/>
        </w:trPr>
        <w:tc>
          <w:tcPr>
            <w:tcW w:w="2257" w:type="dxa"/>
            <w:tcBorders>
              <w:top w:val="single" w:sz="12" w:space="0" w:color="auto"/>
            </w:tcBorders>
            <w:vAlign w:val="bottom"/>
          </w:tcPr>
          <w:p w14:paraId="7AAC043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03" w:type="dxa"/>
            <w:tcBorders>
              <w:top w:val="single" w:sz="12" w:space="0" w:color="auto"/>
            </w:tcBorders>
            <w:vAlign w:val="bottom"/>
          </w:tcPr>
          <w:p w14:paraId="342A0F1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04" w:type="dxa"/>
            <w:tcBorders>
              <w:top w:val="single" w:sz="12" w:space="0" w:color="auto"/>
            </w:tcBorders>
            <w:vAlign w:val="bottom"/>
          </w:tcPr>
          <w:p w14:paraId="4C90C07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04" w:type="dxa"/>
            <w:tcBorders>
              <w:top w:val="single" w:sz="12" w:space="0" w:color="auto"/>
            </w:tcBorders>
            <w:vAlign w:val="bottom"/>
          </w:tcPr>
          <w:p w14:paraId="68336A8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431" w:type="dxa"/>
            <w:tcBorders>
              <w:top w:val="single" w:sz="12" w:space="0" w:color="auto"/>
            </w:tcBorders>
            <w:vAlign w:val="bottom"/>
          </w:tcPr>
          <w:p w14:paraId="178B38E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260" w:type="dxa"/>
            <w:tcBorders>
              <w:top w:val="single" w:sz="12" w:space="0" w:color="auto"/>
            </w:tcBorders>
            <w:vAlign w:val="bottom"/>
          </w:tcPr>
          <w:p w14:paraId="5311D62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39" w:type="dxa"/>
            <w:tcBorders>
              <w:top w:val="single" w:sz="12" w:space="0" w:color="auto"/>
            </w:tcBorders>
            <w:vAlign w:val="bottom"/>
          </w:tcPr>
          <w:p w14:paraId="6E5225E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97ECA" w:rsidRPr="00B9254C" w14:paraId="50A771EE" w14:textId="77777777" w:rsidTr="005F00A8">
        <w:tc>
          <w:tcPr>
            <w:tcW w:w="2257" w:type="dxa"/>
            <w:vAlign w:val="bottom"/>
          </w:tcPr>
          <w:p w14:paraId="6056AEA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pacing w:val="2"/>
                <w:w w:val="101"/>
                <w:sz w:val="17"/>
                <w:lang w:val="en-GB"/>
              </w:rPr>
            </w:pPr>
            <w:r w:rsidRPr="00B9254C">
              <w:rPr>
                <w:b/>
                <w:bCs/>
                <w:spacing w:val="2"/>
                <w:w w:val="101"/>
                <w:sz w:val="17"/>
                <w:lang w:val="en-GB"/>
              </w:rPr>
              <w:t>Military and police personnel</w:t>
            </w:r>
          </w:p>
        </w:tc>
        <w:tc>
          <w:tcPr>
            <w:tcW w:w="903" w:type="dxa"/>
            <w:vAlign w:val="bottom"/>
          </w:tcPr>
          <w:p w14:paraId="7876294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4" w:type="dxa"/>
            <w:vAlign w:val="bottom"/>
          </w:tcPr>
          <w:p w14:paraId="681AA45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4" w:type="dxa"/>
            <w:vAlign w:val="bottom"/>
          </w:tcPr>
          <w:p w14:paraId="611FA11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431" w:type="dxa"/>
            <w:vAlign w:val="bottom"/>
          </w:tcPr>
          <w:p w14:paraId="15745A2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260" w:type="dxa"/>
            <w:vAlign w:val="bottom"/>
          </w:tcPr>
          <w:p w14:paraId="2BB47A9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39" w:type="dxa"/>
            <w:vAlign w:val="bottom"/>
          </w:tcPr>
          <w:p w14:paraId="45CFD19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3413E27E" w14:textId="77777777" w:rsidTr="005F00A8">
        <w:tc>
          <w:tcPr>
            <w:tcW w:w="2257" w:type="dxa"/>
            <w:vAlign w:val="bottom"/>
          </w:tcPr>
          <w:p w14:paraId="42CA918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Military observers</w:t>
            </w:r>
          </w:p>
        </w:tc>
        <w:tc>
          <w:tcPr>
            <w:tcW w:w="903" w:type="dxa"/>
            <w:vAlign w:val="bottom"/>
          </w:tcPr>
          <w:p w14:paraId="703DA84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2.6</w:t>
            </w:r>
          </w:p>
        </w:tc>
        <w:tc>
          <w:tcPr>
            <w:tcW w:w="904" w:type="dxa"/>
            <w:vAlign w:val="bottom"/>
          </w:tcPr>
          <w:p w14:paraId="086CB90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1.9</w:t>
            </w:r>
          </w:p>
        </w:tc>
        <w:tc>
          <w:tcPr>
            <w:tcW w:w="904" w:type="dxa"/>
            <w:vAlign w:val="bottom"/>
          </w:tcPr>
          <w:p w14:paraId="4E022AB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0.0</w:t>
            </w:r>
          </w:p>
        </w:tc>
        <w:tc>
          <w:tcPr>
            <w:tcW w:w="1431" w:type="dxa"/>
            <w:vAlign w:val="bottom"/>
          </w:tcPr>
          <w:p w14:paraId="442D6FA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38.7</w:t>
            </w:r>
          </w:p>
        </w:tc>
        <w:tc>
          <w:tcPr>
            <w:tcW w:w="1260" w:type="dxa"/>
            <w:vAlign w:val="bottom"/>
          </w:tcPr>
          <w:p w14:paraId="1E21CE0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16.8</w:t>
            </w:r>
          </w:p>
        </w:tc>
        <w:tc>
          <w:tcPr>
            <w:tcW w:w="939" w:type="dxa"/>
            <w:vAlign w:val="bottom"/>
          </w:tcPr>
          <w:p w14:paraId="11E9093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90.3</w:t>
            </w:r>
          </w:p>
        </w:tc>
      </w:tr>
      <w:tr w:rsidR="00697ECA" w:rsidRPr="00B9254C" w14:paraId="4752FEBA" w14:textId="77777777" w:rsidTr="005F00A8">
        <w:tc>
          <w:tcPr>
            <w:tcW w:w="2257" w:type="dxa"/>
            <w:vAlign w:val="bottom"/>
          </w:tcPr>
          <w:p w14:paraId="79E4CF3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Military contingents</w:t>
            </w:r>
          </w:p>
        </w:tc>
        <w:tc>
          <w:tcPr>
            <w:tcW w:w="903" w:type="dxa"/>
            <w:vAlign w:val="bottom"/>
          </w:tcPr>
          <w:p w14:paraId="59EF64B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2.9</w:t>
            </w:r>
          </w:p>
        </w:tc>
        <w:tc>
          <w:tcPr>
            <w:tcW w:w="904" w:type="dxa"/>
            <w:vAlign w:val="bottom"/>
          </w:tcPr>
          <w:p w14:paraId="4FF7058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2.4</w:t>
            </w:r>
          </w:p>
        </w:tc>
        <w:tc>
          <w:tcPr>
            <w:tcW w:w="904" w:type="dxa"/>
            <w:vAlign w:val="bottom"/>
          </w:tcPr>
          <w:p w14:paraId="529B4E4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2.1</w:t>
            </w:r>
          </w:p>
        </w:tc>
        <w:tc>
          <w:tcPr>
            <w:tcW w:w="1431" w:type="dxa"/>
            <w:vAlign w:val="bottom"/>
          </w:tcPr>
          <w:p w14:paraId="2B17C66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15.4</w:t>
            </w:r>
          </w:p>
        </w:tc>
        <w:tc>
          <w:tcPr>
            <w:tcW w:w="1260" w:type="dxa"/>
            <w:vAlign w:val="bottom"/>
          </w:tcPr>
          <w:p w14:paraId="4A231C8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7.7</w:t>
            </w:r>
          </w:p>
        </w:tc>
        <w:tc>
          <w:tcPr>
            <w:tcW w:w="939" w:type="dxa"/>
            <w:vAlign w:val="bottom"/>
          </w:tcPr>
          <w:p w14:paraId="40097ED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23.7</w:t>
            </w:r>
          </w:p>
        </w:tc>
      </w:tr>
      <w:tr w:rsidR="00697ECA" w:rsidRPr="00B9254C" w14:paraId="051D7BCB" w14:textId="77777777" w:rsidTr="005F00A8">
        <w:tc>
          <w:tcPr>
            <w:tcW w:w="2257" w:type="dxa"/>
            <w:vAlign w:val="bottom"/>
          </w:tcPr>
          <w:p w14:paraId="5603078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United Nations police</w:t>
            </w:r>
          </w:p>
        </w:tc>
        <w:tc>
          <w:tcPr>
            <w:tcW w:w="903" w:type="dxa"/>
            <w:vAlign w:val="bottom"/>
          </w:tcPr>
          <w:p w14:paraId="4D43A2D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3.8</w:t>
            </w:r>
          </w:p>
        </w:tc>
        <w:tc>
          <w:tcPr>
            <w:tcW w:w="904" w:type="dxa"/>
            <w:vAlign w:val="bottom"/>
          </w:tcPr>
          <w:p w14:paraId="36CB478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1.5</w:t>
            </w:r>
          </w:p>
        </w:tc>
        <w:tc>
          <w:tcPr>
            <w:tcW w:w="904" w:type="dxa"/>
            <w:vAlign w:val="bottom"/>
          </w:tcPr>
          <w:p w14:paraId="2F83168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0.8</w:t>
            </w:r>
          </w:p>
        </w:tc>
        <w:tc>
          <w:tcPr>
            <w:tcW w:w="1431" w:type="dxa"/>
            <w:vAlign w:val="bottom"/>
          </w:tcPr>
          <w:p w14:paraId="5304EE4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31.0</w:t>
            </w:r>
          </w:p>
        </w:tc>
        <w:tc>
          <w:tcPr>
            <w:tcW w:w="1260" w:type="dxa"/>
            <w:vAlign w:val="bottom"/>
          </w:tcPr>
          <w:p w14:paraId="7F35BF1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18.3</w:t>
            </w:r>
          </w:p>
        </w:tc>
        <w:tc>
          <w:tcPr>
            <w:tcW w:w="939" w:type="dxa"/>
            <w:vAlign w:val="bottom"/>
          </w:tcPr>
          <w:p w14:paraId="4BF15A2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24.4</w:t>
            </w:r>
          </w:p>
        </w:tc>
      </w:tr>
      <w:tr w:rsidR="00697ECA" w:rsidRPr="00B9254C" w14:paraId="043DB963" w14:textId="77777777" w:rsidTr="005F00A8">
        <w:tc>
          <w:tcPr>
            <w:tcW w:w="2257" w:type="dxa"/>
            <w:tcBorders>
              <w:bottom w:val="single" w:sz="12" w:space="0" w:color="auto"/>
            </w:tcBorders>
            <w:vAlign w:val="bottom"/>
          </w:tcPr>
          <w:p w14:paraId="5722CF7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Formed police units</w:t>
            </w:r>
          </w:p>
        </w:tc>
        <w:tc>
          <w:tcPr>
            <w:tcW w:w="903" w:type="dxa"/>
            <w:tcBorders>
              <w:bottom w:val="single" w:sz="12" w:space="0" w:color="auto"/>
            </w:tcBorders>
            <w:vAlign w:val="bottom"/>
          </w:tcPr>
          <w:p w14:paraId="6D7F102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0.2</w:t>
            </w:r>
          </w:p>
        </w:tc>
        <w:tc>
          <w:tcPr>
            <w:tcW w:w="904" w:type="dxa"/>
            <w:tcBorders>
              <w:bottom w:val="single" w:sz="12" w:space="0" w:color="auto"/>
            </w:tcBorders>
            <w:vAlign w:val="bottom"/>
          </w:tcPr>
          <w:p w14:paraId="3E9C94C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0.1</w:t>
            </w:r>
          </w:p>
        </w:tc>
        <w:tc>
          <w:tcPr>
            <w:tcW w:w="904" w:type="dxa"/>
            <w:tcBorders>
              <w:bottom w:val="single" w:sz="12" w:space="0" w:color="auto"/>
            </w:tcBorders>
            <w:vAlign w:val="bottom"/>
          </w:tcPr>
          <w:p w14:paraId="18041E5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0.0</w:t>
            </w:r>
          </w:p>
        </w:tc>
        <w:tc>
          <w:tcPr>
            <w:tcW w:w="1431" w:type="dxa"/>
            <w:tcBorders>
              <w:bottom w:val="single" w:sz="12" w:space="0" w:color="auto"/>
            </w:tcBorders>
            <w:vAlign w:val="bottom"/>
          </w:tcPr>
          <w:p w14:paraId="710BA73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23.8</w:t>
            </w:r>
          </w:p>
        </w:tc>
        <w:tc>
          <w:tcPr>
            <w:tcW w:w="1260" w:type="dxa"/>
            <w:tcBorders>
              <w:bottom w:val="single" w:sz="12" w:space="0" w:color="auto"/>
            </w:tcBorders>
            <w:vAlign w:val="bottom"/>
          </w:tcPr>
          <w:p w14:paraId="671C00F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11.2</w:t>
            </w:r>
          </w:p>
        </w:tc>
        <w:tc>
          <w:tcPr>
            <w:tcW w:w="939" w:type="dxa"/>
            <w:tcBorders>
              <w:bottom w:val="single" w:sz="12" w:space="0" w:color="auto"/>
            </w:tcBorders>
            <w:vAlign w:val="bottom"/>
          </w:tcPr>
          <w:p w14:paraId="385DDEE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24.5</w:t>
            </w:r>
          </w:p>
        </w:tc>
      </w:tr>
    </w:tbl>
    <w:p w14:paraId="059314CC" w14:textId="77777777" w:rsidR="00D87DC9" w:rsidRPr="00B9254C" w:rsidRDefault="00D87DC9" w:rsidP="00203135">
      <w:pPr>
        <w:pStyle w:val="SingleTxt"/>
        <w:spacing w:after="0" w:line="100" w:lineRule="exact"/>
        <w:rPr>
          <w:sz w:val="10"/>
          <w:lang w:val="en-GB"/>
        </w:rPr>
      </w:pPr>
    </w:p>
    <w:p w14:paraId="52B1B8FA" w14:textId="77777777" w:rsidR="00E90676" w:rsidRPr="00B9254C" w:rsidRDefault="00E90676" w:rsidP="00203135">
      <w:pPr>
        <w:pStyle w:val="SingleTxt"/>
        <w:spacing w:after="0" w:line="100" w:lineRule="exact"/>
        <w:rPr>
          <w:sz w:val="10"/>
          <w:lang w:val="en-GB"/>
        </w:rPr>
      </w:pPr>
    </w:p>
    <w:p w14:paraId="4B8965D9" w14:textId="3A6C32C2" w:rsidR="00D87DC9" w:rsidRPr="00B9254C" w:rsidRDefault="00D87DC9" w:rsidP="00171E00">
      <w:pPr>
        <w:pStyle w:val="SingleTxt"/>
        <w:rPr>
          <w:spacing w:val="2"/>
          <w:w w:val="102"/>
          <w:lang w:val="en-GB"/>
        </w:rPr>
      </w:pPr>
      <w:r w:rsidRPr="00B9254C">
        <w:rPr>
          <w:spacing w:val="2"/>
          <w:w w:val="102"/>
          <w:lang w:val="en-GB"/>
        </w:rPr>
        <w:t>20.</w:t>
      </w:r>
      <w:r w:rsidRPr="00B9254C">
        <w:rPr>
          <w:spacing w:val="2"/>
          <w:w w:val="102"/>
          <w:lang w:val="en-GB"/>
        </w:rPr>
        <w:tab/>
        <w:t xml:space="preserve">The proposed resources for military and police personnel for the 2026/27 period amount to $500,029,300, reflecting a decrease of $135,207,000, or 21.3 per cent, compared with the apportionment of $635,236,300 approved for 2025/26, reflecting the net impact of the reduction in authorized military strength, as decided by the Security Council in its resolution </w:t>
      </w:r>
      <w:hyperlink r:id="rId32" w:history="1">
        <w:r w:rsidRPr="00B9254C">
          <w:rPr>
            <w:rStyle w:val="Hyperlink"/>
            <w:spacing w:val="2"/>
            <w:w w:val="102"/>
            <w:lang w:val="en-GB"/>
          </w:rPr>
          <w:t>2800 (2025)</w:t>
        </w:r>
      </w:hyperlink>
      <w:r w:rsidRPr="00B9254C">
        <w:rPr>
          <w:spacing w:val="2"/>
          <w:w w:val="102"/>
          <w:lang w:val="en-GB"/>
        </w:rPr>
        <w:t>, and higher vacancy rates for military observers (90.3 per cent compared with 0 per cent), military contingents (23.7 per cent compared with 2.1 per cent), United Nations police (24.4 per cent compared with 0.8 per cent) and formed police units (24.5 per cent compared with 0 per cent) (</w:t>
      </w:r>
      <w:hyperlink r:id="rId33" w:history="1">
        <w:r w:rsidRPr="00B9254C">
          <w:rPr>
            <w:rStyle w:val="Hyperlink"/>
            <w:spacing w:val="2"/>
            <w:w w:val="102"/>
            <w:lang w:val="en-GB"/>
          </w:rPr>
          <w:t>A/80/623</w:t>
        </w:r>
      </w:hyperlink>
      <w:r w:rsidRPr="00B9254C">
        <w:rPr>
          <w:spacing w:val="2"/>
          <w:w w:val="102"/>
          <w:lang w:val="en-GB"/>
        </w:rPr>
        <w:t>, paras. 83</w:t>
      </w:r>
      <w:r w:rsidR="00697ECA" w:rsidRPr="00B9254C">
        <w:rPr>
          <w:spacing w:val="2"/>
          <w:w w:val="102"/>
          <w:lang w:val="en-GB"/>
        </w:rPr>
        <w:t>–</w:t>
      </w:r>
      <w:r w:rsidRPr="00B9254C">
        <w:rPr>
          <w:spacing w:val="2"/>
          <w:w w:val="102"/>
          <w:lang w:val="en-GB"/>
        </w:rPr>
        <w:t>91). The Advisory Committee was informed, upon enquiry, that a comprehensive, conditions-based assessment determined the composition of uniformed personnel, which incorporates updated threat and risk analyses in the post-electoral environment. It also examined the evolving capacity, sustainability and operational readiness of national defence and internal security forces. Recommended strength reflects the minimum level required to maintain credible deterrence, ensure response and mitigate residual risk, in line with the mandate. The 90.3 per cent vacancy rate for military observers reflects the operational reconfiguration and contingency planning. It was further indicated that it was not expected for contingent-owned equipment to be returned in 2026/27, except for equipment required for the quick-reaction force, if feasible.</w:t>
      </w:r>
    </w:p>
    <w:p w14:paraId="711519EF" w14:textId="77777777" w:rsidR="00D87DC9" w:rsidRPr="00B9254C" w:rsidRDefault="00D87DC9" w:rsidP="00171E00">
      <w:pPr>
        <w:pStyle w:val="SingleTxt"/>
        <w:rPr>
          <w:b/>
          <w:bCs/>
          <w:lang w:val="en-GB"/>
        </w:rPr>
      </w:pPr>
      <w:r w:rsidRPr="00B9254C">
        <w:rPr>
          <w:lang w:val="en-GB"/>
        </w:rPr>
        <w:t>21.</w:t>
      </w:r>
      <w:r w:rsidRPr="00B9254C">
        <w:rPr>
          <w:lang w:val="en-GB"/>
        </w:rPr>
        <w:tab/>
      </w:r>
      <w:r w:rsidRPr="00B9254C">
        <w:rPr>
          <w:b/>
          <w:bCs/>
          <w:lang w:val="en-GB"/>
        </w:rPr>
        <w:t>The Advisory Committee recommends the approval of the proposals of the Secretary-General for military and police personnel.</w:t>
      </w:r>
    </w:p>
    <w:p w14:paraId="5190D970" w14:textId="77777777" w:rsidR="00D87DC9" w:rsidRPr="00B9254C" w:rsidRDefault="00D87DC9" w:rsidP="00203135">
      <w:pPr>
        <w:pStyle w:val="SingleTxt"/>
        <w:spacing w:after="0" w:line="100" w:lineRule="exact"/>
        <w:rPr>
          <w:sz w:val="10"/>
          <w:lang w:val="en-GB"/>
        </w:rPr>
      </w:pPr>
    </w:p>
    <w:p w14:paraId="3CF28204" w14:textId="6C16496F" w:rsidR="00D87DC9" w:rsidRPr="00B9254C" w:rsidRDefault="00697ECA"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2.</w:t>
      </w:r>
      <w:r w:rsidR="00D87DC9" w:rsidRPr="00B9254C">
        <w:rPr>
          <w:lang w:val="en-GB"/>
        </w:rPr>
        <w:tab/>
        <w:t>Civilian personnel</w:t>
      </w:r>
    </w:p>
    <w:p w14:paraId="3E72B59C" w14:textId="77777777" w:rsidR="00D87DC9" w:rsidRPr="00B9254C" w:rsidRDefault="00D87DC9" w:rsidP="00203135">
      <w:pPr>
        <w:pStyle w:val="SingleTxt"/>
        <w:spacing w:after="0" w:line="100" w:lineRule="exact"/>
        <w:rPr>
          <w:sz w:val="10"/>
          <w:lang w:val="en-GB"/>
        </w:rPr>
      </w:pPr>
    </w:p>
    <w:p w14:paraId="2F0F4ABC" w14:textId="77777777" w:rsidR="00697ECA" w:rsidRPr="00B9254C" w:rsidRDefault="00697ECA" w:rsidP="00203135">
      <w:pPr>
        <w:pStyle w:val="SingleTxt"/>
        <w:spacing w:after="0" w:line="100" w:lineRule="exact"/>
        <w:rPr>
          <w:sz w:val="10"/>
          <w:lang w:val="en-GB"/>
        </w:rPr>
      </w:pPr>
    </w:p>
    <w:tbl>
      <w:tblPr>
        <w:tblStyle w:val="TableGrid"/>
        <w:tblW w:w="8607"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9"/>
        <w:gridCol w:w="819"/>
        <w:gridCol w:w="1260"/>
        <w:gridCol w:w="810"/>
        <w:gridCol w:w="1260"/>
        <w:gridCol w:w="810"/>
        <w:gridCol w:w="849"/>
      </w:tblGrid>
      <w:tr w:rsidR="00203135" w:rsidRPr="00B9254C" w14:paraId="34BE4AA8" w14:textId="77777777" w:rsidTr="00697ECA">
        <w:trPr>
          <w:tblHeader/>
        </w:trPr>
        <w:tc>
          <w:tcPr>
            <w:tcW w:w="2799" w:type="dxa"/>
            <w:vMerge w:val="restart"/>
            <w:tcBorders>
              <w:top w:val="single" w:sz="4" w:space="0" w:color="auto"/>
            </w:tcBorders>
            <w:vAlign w:val="bottom"/>
          </w:tcPr>
          <w:p w14:paraId="3A2594D5" w14:textId="0CCBC14F" w:rsidR="00203135" w:rsidRPr="00B9254C" w:rsidRDefault="00203135" w:rsidP="00171E00">
            <w:pPr>
              <w:pStyle w:val="SingleTxt"/>
              <w:spacing w:before="82" w:after="82" w:line="150" w:lineRule="exact"/>
              <w:ind w:left="0" w:right="43"/>
              <w:rPr>
                <w:i/>
                <w:sz w:val="14"/>
                <w:lang w:val="en-GB"/>
              </w:rPr>
            </w:pPr>
            <w:r w:rsidRPr="00B9254C">
              <w:rPr>
                <w:i/>
                <w:sz w:val="14"/>
                <w:lang w:val="en-GB"/>
              </w:rPr>
              <w:t>Category</w:t>
            </w:r>
          </w:p>
        </w:tc>
        <w:tc>
          <w:tcPr>
            <w:tcW w:w="819" w:type="dxa"/>
            <w:tcBorders>
              <w:top w:val="single" w:sz="4" w:space="0" w:color="auto"/>
              <w:bottom w:val="single" w:sz="4" w:space="0" w:color="auto"/>
            </w:tcBorders>
            <w:vAlign w:val="bottom"/>
          </w:tcPr>
          <w:p w14:paraId="4ECB8EE9"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Approved 2024/25</w:t>
            </w:r>
          </w:p>
        </w:tc>
        <w:tc>
          <w:tcPr>
            <w:tcW w:w="1260" w:type="dxa"/>
            <w:tcBorders>
              <w:top w:val="single" w:sz="4" w:space="0" w:color="auto"/>
              <w:bottom w:val="single" w:sz="4" w:space="0" w:color="auto"/>
            </w:tcBorders>
            <w:vAlign w:val="bottom"/>
          </w:tcPr>
          <w:p w14:paraId="7236712F"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Encumbered as at 30 June 2025</w:t>
            </w:r>
          </w:p>
        </w:tc>
        <w:tc>
          <w:tcPr>
            <w:tcW w:w="810" w:type="dxa"/>
            <w:tcBorders>
              <w:top w:val="single" w:sz="4" w:space="0" w:color="auto"/>
              <w:bottom w:val="single" w:sz="4" w:space="0" w:color="auto"/>
            </w:tcBorders>
            <w:vAlign w:val="bottom"/>
          </w:tcPr>
          <w:p w14:paraId="2DA11189"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Approved 2025/26</w:t>
            </w:r>
          </w:p>
        </w:tc>
        <w:tc>
          <w:tcPr>
            <w:tcW w:w="1260" w:type="dxa"/>
            <w:tcBorders>
              <w:top w:val="single" w:sz="4" w:space="0" w:color="auto"/>
              <w:bottom w:val="single" w:sz="4" w:space="0" w:color="auto"/>
            </w:tcBorders>
            <w:vAlign w:val="bottom"/>
          </w:tcPr>
          <w:p w14:paraId="172A792F"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 xml:space="preserve">Encumbered as at 28 February 2026 </w:t>
            </w:r>
          </w:p>
        </w:tc>
        <w:tc>
          <w:tcPr>
            <w:tcW w:w="810" w:type="dxa"/>
            <w:tcBorders>
              <w:top w:val="single" w:sz="4" w:space="0" w:color="auto"/>
              <w:bottom w:val="single" w:sz="4" w:space="0" w:color="auto"/>
            </w:tcBorders>
            <w:vAlign w:val="bottom"/>
          </w:tcPr>
          <w:p w14:paraId="5377AD54" w14:textId="7C362029"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Proposed 202</w:t>
            </w:r>
            <w:r>
              <w:rPr>
                <w:i/>
                <w:sz w:val="14"/>
                <w:lang w:val="en-GB"/>
              </w:rPr>
              <w:t>6</w:t>
            </w:r>
            <w:r w:rsidRPr="00B9254C">
              <w:rPr>
                <w:i/>
                <w:sz w:val="14"/>
                <w:lang w:val="en-GB"/>
              </w:rPr>
              <w:t>/2</w:t>
            </w:r>
            <w:r>
              <w:rPr>
                <w:i/>
                <w:sz w:val="14"/>
                <w:lang w:val="en-GB"/>
              </w:rPr>
              <w:t>7</w:t>
            </w:r>
          </w:p>
        </w:tc>
        <w:tc>
          <w:tcPr>
            <w:tcW w:w="849" w:type="dxa"/>
            <w:tcBorders>
              <w:top w:val="single" w:sz="4" w:space="0" w:color="auto"/>
              <w:bottom w:val="single" w:sz="4" w:space="0" w:color="auto"/>
            </w:tcBorders>
            <w:vAlign w:val="bottom"/>
          </w:tcPr>
          <w:p w14:paraId="314164A1"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Variance</w:t>
            </w:r>
          </w:p>
        </w:tc>
      </w:tr>
      <w:tr w:rsidR="00203135" w:rsidRPr="00B9254C" w14:paraId="5C1F3170" w14:textId="77777777" w:rsidTr="00697ECA">
        <w:trPr>
          <w:tblHeader/>
        </w:trPr>
        <w:tc>
          <w:tcPr>
            <w:tcW w:w="2799" w:type="dxa"/>
            <w:vMerge/>
            <w:tcBorders>
              <w:bottom w:val="single" w:sz="12" w:space="0" w:color="auto"/>
            </w:tcBorders>
            <w:vAlign w:val="bottom"/>
          </w:tcPr>
          <w:p w14:paraId="0342E487" w14:textId="18F5124D"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rPr>
                <w:i/>
                <w:sz w:val="14"/>
                <w:lang w:val="en-GB"/>
              </w:rPr>
            </w:pPr>
          </w:p>
        </w:tc>
        <w:tc>
          <w:tcPr>
            <w:tcW w:w="819" w:type="dxa"/>
            <w:tcBorders>
              <w:top w:val="single" w:sz="4" w:space="0" w:color="auto"/>
              <w:bottom w:val="single" w:sz="12" w:space="0" w:color="auto"/>
            </w:tcBorders>
            <w:vAlign w:val="bottom"/>
          </w:tcPr>
          <w:p w14:paraId="3845CC2F"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(1)</w:t>
            </w:r>
          </w:p>
        </w:tc>
        <w:tc>
          <w:tcPr>
            <w:tcW w:w="1260" w:type="dxa"/>
            <w:tcBorders>
              <w:top w:val="single" w:sz="4" w:space="0" w:color="auto"/>
              <w:bottom w:val="single" w:sz="12" w:space="0" w:color="auto"/>
            </w:tcBorders>
            <w:vAlign w:val="bottom"/>
          </w:tcPr>
          <w:p w14:paraId="68B7094E"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(2)</w:t>
            </w:r>
          </w:p>
        </w:tc>
        <w:tc>
          <w:tcPr>
            <w:tcW w:w="810" w:type="dxa"/>
            <w:tcBorders>
              <w:top w:val="single" w:sz="4" w:space="0" w:color="auto"/>
              <w:bottom w:val="single" w:sz="12" w:space="0" w:color="auto"/>
            </w:tcBorders>
            <w:vAlign w:val="bottom"/>
          </w:tcPr>
          <w:p w14:paraId="50ECEB33"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(3)</w:t>
            </w:r>
          </w:p>
        </w:tc>
        <w:tc>
          <w:tcPr>
            <w:tcW w:w="1260" w:type="dxa"/>
            <w:tcBorders>
              <w:top w:val="single" w:sz="4" w:space="0" w:color="auto"/>
              <w:bottom w:val="single" w:sz="12" w:space="0" w:color="auto"/>
            </w:tcBorders>
            <w:vAlign w:val="bottom"/>
          </w:tcPr>
          <w:p w14:paraId="2C07D2A7"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(4)</w:t>
            </w:r>
          </w:p>
        </w:tc>
        <w:tc>
          <w:tcPr>
            <w:tcW w:w="810" w:type="dxa"/>
            <w:tcBorders>
              <w:top w:val="single" w:sz="4" w:space="0" w:color="auto"/>
              <w:bottom w:val="single" w:sz="12" w:space="0" w:color="auto"/>
            </w:tcBorders>
            <w:vAlign w:val="bottom"/>
          </w:tcPr>
          <w:p w14:paraId="43292350"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(5)</w:t>
            </w:r>
          </w:p>
        </w:tc>
        <w:tc>
          <w:tcPr>
            <w:tcW w:w="849" w:type="dxa"/>
            <w:tcBorders>
              <w:top w:val="single" w:sz="4" w:space="0" w:color="auto"/>
              <w:bottom w:val="single" w:sz="12" w:space="0" w:color="auto"/>
            </w:tcBorders>
            <w:vAlign w:val="bottom"/>
          </w:tcPr>
          <w:p w14:paraId="1C3C9B51" w14:textId="77777777" w:rsidR="00203135" w:rsidRPr="00B9254C" w:rsidRDefault="00203135" w:rsidP="00171E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50" w:lineRule="exact"/>
              <w:ind w:left="0" w:right="43"/>
              <w:jc w:val="right"/>
              <w:rPr>
                <w:i/>
                <w:sz w:val="14"/>
                <w:lang w:val="en-GB"/>
              </w:rPr>
            </w:pPr>
            <w:r w:rsidRPr="00B9254C">
              <w:rPr>
                <w:i/>
                <w:sz w:val="14"/>
                <w:lang w:val="en-GB"/>
              </w:rPr>
              <w:t>(6)=(5)-(3)</w:t>
            </w:r>
          </w:p>
        </w:tc>
      </w:tr>
      <w:tr w:rsidR="00697ECA" w:rsidRPr="00B9254C" w14:paraId="3985BD69" w14:textId="77777777" w:rsidTr="00697ECA">
        <w:trPr>
          <w:trHeight w:hRule="exact" w:val="115"/>
          <w:tblHeader/>
        </w:trPr>
        <w:tc>
          <w:tcPr>
            <w:tcW w:w="2799" w:type="dxa"/>
            <w:tcBorders>
              <w:top w:val="single" w:sz="12" w:space="0" w:color="auto"/>
            </w:tcBorders>
            <w:vAlign w:val="bottom"/>
          </w:tcPr>
          <w:p w14:paraId="5AB3D1B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819" w:type="dxa"/>
            <w:tcBorders>
              <w:top w:val="single" w:sz="12" w:space="0" w:color="auto"/>
            </w:tcBorders>
            <w:vAlign w:val="bottom"/>
          </w:tcPr>
          <w:p w14:paraId="3F803E2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260" w:type="dxa"/>
            <w:tcBorders>
              <w:top w:val="single" w:sz="12" w:space="0" w:color="auto"/>
            </w:tcBorders>
            <w:vAlign w:val="bottom"/>
          </w:tcPr>
          <w:p w14:paraId="35DD499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10" w:type="dxa"/>
            <w:tcBorders>
              <w:top w:val="single" w:sz="12" w:space="0" w:color="auto"/>
            </w:tcBorders>
            <w:vAlign w:val="bottom"/>
          </w:tcPr>
          <w:p w14:paraId="055DF80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260" w:type="dxa"/>
            <w:tcBorders>
              <w:top w:val="single" w:sz="12" w:space="0" w:color="auto"/>
            </w:tcBorders>
            <w:vAlign w:val="bottom"/>
          </w:tcPr>
          <w:p w14:paraId="010034C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10" w:type="dxa"/>
            <w:tcBorders>
              <w:top w:val="single" w:sz="12" w:space="0" w:color="auto"/>
            </w:tcBorders>
            <w:vAlign w:val="bottom"/>
          </w:tcPr>
          <w:p w14:paraId="7FF4834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49" w:type="dxa"/>
            <w:tcBorders>
              <w:top w:val="single" w:sz="12" w:space="0" w:color="auto"/>
            </w:tcBorders>
            <w:vAlign w:val="bottom"/>
          </w:tcPr>
          <w:p w14:paraId="625D8A0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97ECA" w:rsidRPr="00B9254C" w14:paraId="73D09F6F" w14:textId="77777777" w:rsidTr="00697ECA">
        <w:tc>
          <w:tcPr>
            <w:tcW w:w="2799" w:type="dxa"/>
            <w:vAlign w:val="bottom"/>
          </w:tcPr>
          <w:p w14:paraId="33B88CA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B9254C">
              <w:rPr>
                <w:b/>
                <w:bCs/>
                <w:sz w:val="17"/>
                <w:lang w:val="en-GB"/>
              </w:rPr>
              <w:t>Posts</w:t>
            </w:r>
          </w:p>
        </w:tc>
        <w:tc>
          <w:tcPr>
            <w:tcW w:w="819" w:type="dxa"/>
            <w:vAlign w:val="bottom"/>
          </w:tcPr>
          <w:p w14:paraId="49F98D6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05B2B05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3323C01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7D8DEF7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4928039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49" w:type="dxa"/>
            <w:vAlign w:val="bottom"/>
          </w:tcPr>
          <w:p w14:paraId="1F1E989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r>
      <w:tr w:rsidR="00697ECA" w:rsidRPr="00B9254C" w14:paraId="1211B4B0" w14:textId="77777777" w:rsidTr="00697ECA">
        <w:tc>
          <w:tcPr>
            <w:tcW w:w="2799" w:type="dxa"/>
            <w:vAlign w:val="bottom"/>
          </w:tcPr>
          <w:p w14:paraId="25816993" w14:textId="1C25FD5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International staff</w:t>
            </w:r>
          </w:p>
        </w:tc>
        <w:tc>
          <w:tcPr>
            <w:tcW w:w="819" w:type="dxa"/>
            <w:vAlign w:val="bottom"/>
          </w:tcPr>
          <w:p w14:paraId="70BBF6C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745</w:t>
            </w:r>
          </w:p>
        </w:tc>
        <w:tc>
          <w:tcPr>
            <w:tcW w:w="1260" w:type="dxa"/>
            <w:vAlign w:val="bottom"/>
          </w:tcPr>
          <w:p w14:paraId="75F824D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678</w:t>
            </w:r>
          </w:p>
        </w:tc>
        <w:tc>
          <w:tcPr>
            <w:tcW w:w="810" w:type="dxa"/>
            <w:vAlign w:val="bottom"/>
          </w:tcPr>
          <w:p w14:paraId="4BAA041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744</w:t>
            </w:r>
          </w:p>
        </w:tc>
        <w:tc>
          <w:tcPr>
            <w:tcW w:w="1260" w:type="dxa"/>
            <w:vAlign w:val="bottom"/>
          </w:tcPr>
          <w:p w14:paraId="546B411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610</w:t>
            </w:r>
          </w:p>
        </w:tc>
        <w:tc>
          <w:tcPr>
            <w:tcW w:w="810" w:type="dxa"/>
            <w:vAlign w:val="bottom"/>
          </w:tcPr>
          <w:p w14:paraId="31ADEB2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670</w:t>
            </w:r>
          </w:p>
        </w:tc>
        <w:tc>
          <w:tcPr>
            <w:tcW w:w="849" w:type="dxa"/>
            <w:vAlign w:val="bottom"/>
          </w:tcPr>
          <w:p w14:paraId="7823D79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(74)</w:t>
            </w:r>
          </w:p>
        </w:tc>
      </w:tr>
      <w:tr w:rsidR="00697ECA" w:rsidRPr="00B9254C" w14:paraId="492F767D" w14:textId="77777777" w:rsidTr="00697ECA">
        <w:tc>
          <w:tcPr>
            <w:tcW w:w="2799" w:type="dxa"/>
            <w:vAlign w:val="bottom"/>
          </w:tcPr>
          <w:p w14:paraId="4C4D83B3" w14:textId="0D2F185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National staff</w:t>
            </w:r>
          </w:p>
        </w:tc>
        <w:tc>
          <w:tcPr>
            <w:tcW w:w="819" w:type="dxa"/>
            <w:vAlign w:val="bottom"/>
          </w:tcPr>
          <w:p w14:paraId="54C259F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260" w:type="dxa"/>
            <w:vAlign w:val="bottom"/>
          </w:tcPr>
          <w:p w14:paraId="3F02672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0" w:type="dxa"/>
            <w:vAlign w:val="bottom"/>
          </w:tcPr>
          <w:p w14:paraId="5A3CC1E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260" w:type="dxa"/>
            <w:vAlign w:val="bottom"/>
          </w:tcPr>
          <w:p w14:paraId="67E86AC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0" w:type="dxa"/>
            <w:vAlign w:val="bottom"/>
          </w:tcPr>
          <w:p w14:paraId="5A5436C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49" w:type="dxa"/>
            <w:vAlign w:val="bottom"/>
          </w:tcPr>
          <w:p w14:paraId="6BC6EAE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7D72CB81" w14:textId="77777777" w:rsidTr="00697ECA">
        <w:tc>
          <w:tcPr>
            <w:tcW w:w="2799" w:type="dxa"/>
            <w:vAlign w:val="bottom"/>
          </w:tcPr>
          <w:p w14:paraId="3CE184EF" w14:textId="581451B1"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pacing w:val="2"/>
                <w:w w:val="102"/>
                <w:sz w:val="17"/>
                <w:lang w:val="en-GB"/>
              </w:rPr>
            </w:pPr>
            <w:r w:rsidRPr="00B9254C">
              <w:rPr>
                <w:spacing w:val="2"/>
                <w:w w:val="102"/>
                <w:sz w:val="17"/>
                <w:lang w:val="en-GB"/>
              </w:rPr>
              <w:tab/>
              <w:t>National Professional Officer</w:t>
            </w:r>
          </w:p>
        </w:tc>
        <w:tc>
          <w:tcPr>
            <w:tcW w:w="819" w:type="dxa"/>
            <w:vAlign w:val="bottom"/>
          </w:tcPr>
          <w:p w14:paraId="32B5916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115</w:t>
            </w:r>
          </w:p>
        </w:tc>
        <w:tc>
          <w:tcPr>
            <w:tcW w:w="1260" w:type="dxa"/>
            <w:vAlign w:val="bottom"/>
          </w:tcPr>
          <w:p w14:paraId="7A97E85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109</w:t>
            </w:r>
          </w:p>
        </w:tc>
        <w:tc>
          <w:tcPr>
            <w:tcW w:w="810" w:type="dxa"/>
            <w:vAlign w:val="bottom"/>
          </w:tcPr>
          <w:p w14:paraId="30B86BB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116</w:t>
            </w:r>
          </w:p>
        </w:tc>
        <w:tc>
          <w:tcPr>
            <w:tcW w:w="1260" w:type="dxa"/>
            <w:vAlign w:val="bottom"/>
          </w:tcPr>
          <w:p w14:paraId="2E08B10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107</w:t>
            </w:r>
          </w:p>
        </w:tc>
        <w:tc>
          <w:tcPr>
            <w:tcW w:w="810" w:type="dxa"/>
            <w:vAlign w:val="bottom"/>
          </w:tcPr>
          <w:p w14:paraId="1E7C552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117</w:t>
            </w:r>
          </w:p>
        </w:tc>
        <w:tc>
          <w:tcPr>
            <w:tcW w:w="849" w:type="dxa"/>
            <w:vAlign w:val="bottom"/>
          </w:tcPr>
          <w:p w14:paraId="22DC6DF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w:t>
            </w:r>
          </w:p>
        </w:tc>
      </w:tr>
      <w:tr w:rsidR="00697ECA" w:rsidRPr="00B9254C" w14:paraId="6A56A0B1" w14:textId="77777777" w:rsidTr="00697ECA">
        <w:tc>
          <w:tcPr>
            <w:tcW w:w="2799" w:type="dxa"/>
            <w:vAlign w:val="bottom"/>
          </w:tcPr>
          <w:p w14:paraId="37F617F6" w14:textId="70E8A59E"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pacing w:val="2"/>
                <w:w w:val="102"/>
                <w:sz w:val="17"/>
                <w:lang w:val="en-GB"/>
              </w:rPr>
            </w:pPr>
            <w:r w:rsidRPr="00B9254C">
              <w:rPr>
                <w:spacing w:val="2"/>
                <w:w w:val="102"/>
                <w:sz w:val="17"/>
                <w:lang w:val="en-GB"/>
              </w:rPr>
              <w:tab/>
              <w:t>National General Service staff</w:t>
            </w:r>
          </w:p>
        </w:tc>
        <w:tc>
          <w:tcPr>
            <w:tcW w:w="819" w:type="dxa"/>
            <w:vAlign w:val="bottom"/>
          </w:tcPr>
          <w:p w14:paraId="77021B3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511</w:t>
            </w:r>
          </w:p>
        </w:tc>
        <w:tc>
          <w:tcPr>
            <w:tcW w:w="1260" w:type="dxa"/>
            <w:vAlign w:val="bottom"/>
          </w:tcPr>
          <w:p w14:paraId="26DA3D6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472</w:t>
            </w:r>
          </w:p>
        </w:tc>
        <w:tc>
          <w:tcPr>
            <w:tcW w:w="810" w:type="dxa"/>
            <w:vAlign w:val="bottom"/>
          </w:tcPr>
          <w:p w14:paraId="1D729C8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510</w:t>
            </w:r>
          </w:p>
        </w:tc>
        <w:tc>
          <w:tcPr>
            <w:tcW w:w="1260" w:type="dxa"/>
            <w:vAlign w:val="bottom"/>
          </w:tcPr>
          <w:p w14:paraId="50EB56B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453</w:t>
            </w:r>
          </w:p>
        </w:tc>
        <w:tc>
          <w:tcPr>
            <w:tcW w:w="810" w:type="dxa"/>
            <w:vAlign w:val="bottom"/>
          </w:tcPr>
          <w:p w14:paraId="6F6A470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510</w:t>
            </w:r>
          </w:p>
        </w:tc>
        <w:tc>
          <w:tcPr>
            <w:tcW w:w="849" w:type="dxa"/>
            <w:vAlign w:val="bottom"/>
          </w:tcPr>
          <w:p w14:paraId="5B33B94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w:t>
            </w:r>
          </w:p>
        </w:tc>
      </w:tr>
      <w:tr w:rsidR="00697ECA" w:rsidRPr="00B9254C" w14:paraId="178AFF73" w14:textId="77777777" w:rsidTr="00697ECA">
        <w:tc>
          <w:tcPr>
            <w:tcW w:w="2799" w:type="dxa"/>
            <w:vAlign w:val="bottom"/>
          </w:tcPr>
          <w:p w14:paraId="185F9B5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B9254C">
              <w:rPr>
                <w:b/>
                <w:bCs/>
                <w:sz w:val="17"/>
                <w:lang w:val="en-GB"/>
              </w:rPr>
              <w:t>Temporary positions</w:t>
            </w:r>
            <w:r w:rsidRPr="00B9254C">
              <w:rPr>
                <w:i/>
                <w:iCs/>
                <w:sz w:val="17"/>
                <w:vertAlign w:val="superscript"/>
                <w:lang w:val="en-GB"/>
              </w:rPr>
              <w:t>a</w:t>
            </w:r>
          </w:p>
        </w:tc>
        <w:tc>
          <w:tcPr>
            <w:tcW w:w="819" w:type="dxa"/>
            <w:vAlign w:val="bottom"/>
          </w:tcPr>
          <w:p w14:paraId="26D727C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271EE37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670895E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4F6BCB0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7558E55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49" w:type="dxa"/>
            <w:vAlign w:val="bottom"/>
          </w:tcPr>
          <w:p w14:paraId="6E6443D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r>
      <w:tr w:rsidR="00697ECA" w:rsidRPr="00B9254C" w14:paraId="7385BE46" w14:textId="77777777" w:rsidTr="00697ECA">
        <w:tc>
          <w:tcPr>
            <w:tcW w:w="2799" w:type="dxa"/>
            <w:vAlign w:val="bottom"/>
          </w:tcPr>
          <w:p w14:paraId="4A7693C0" w14:textId="1C0A564D"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International staff</w:t>
            </w:r>
          </w:p>
        </w:tc>
        <w:tc>
          <w:tcPr>
            <w:tcW w:w="819" w:type="dxa"/>
            <w:vAlign w:val="bottom"/>
          </w:tcPr>
          <w:p w14:paraId="420F16B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30</w:t>
            </w:r>
          </w:p>
        </w:tc>
        <w:tc>
          <w:tcPr>
            <w:tcW w:w="1260" w:type="dxa"/>
            <w:vAlign w:val="bottom"/>
          </w:tcPr>
          <w:p w14:paraId="57E6A4B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19</w:t>
            </w:r>
          </w:p>
        </w:tc>
        <w:tc>
          <w:tcPr>
            <w:tcW w:w="810" w:type="dxa"/>
            <w:vAlign w:val="bottom"/>
          </w:tcPr>
          <w:p w14:paraId="464A22E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30</w:t>
            </w:r>
          </w:p>
        </w:tc>
        <w:tc>
          <w:tcPr>
            <w:tcW w:w="1260" w:type="dxa"/>
            <w:vAlign w:val="bottom"/>
          </w:tcPr>
          <w:p w14:paraId="252AB02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26</w:t>
            </w:r>
          </w:p>
        </w:tc>
        <w:tc>
          <w:tcPr>
            <w:tcW w:w="810" w:type="dxa"/>
            <w:vAlign w:val="bottom"/>
          </w:tcPr>
          <w:p w14:paraId="71B4514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w:t>
            </w:r>
          </w:p>
        </w:tc>
        <w:tc>
          <w:tcPr>
            <w:tcW w:w="849" w:type="dxa"/>
            <w:vAlign w:val="bottom"/>
          </w:tcPr>
          <w:p w14:paraId="2DA023A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(29)</w:t>
            </w:r>
          </w:p>
        </w:tc>
      </w:tr>
      <w:tr w:rsidR="00697ECA" w:rsidRPr="00B9254C" w14:paraId="0A6F58C0" w14:textId="77777777" w:rsidTr="00697ECA">
        <w:tc>
          <w:tcPr>
            <w:tcW w:w="2799" w:type="dxa"/>
            <w:vAlign w:val="bottom"/>
          </w:tcPr>
          <w:p w14:paraId="6CE16B21" w14:textId="6D066408"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National General Service staff</w:t>
            </w:r>
          </w:p>
        </w:tc>
        <w:tc>
          <w:tcPr>
            <w:tcW w:w="819" w:type="dxa"/>
            <w:vAlign w:val="bottom"/>
          </w:tcPr>
          <w:p w14:paraId="1ED7B9D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w:t>
            </w:r>
          </w:p>
        </w:tc>
        <w:tc>
          <w:tcPr>
            <w:tcW w:w="1260" w:type="dxa"/>
            <w:vAlign w:val="bottom"/>
          </w:tcPr>
          <w:p w14:paraId="55003EE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w:t>
            </w:r>
          </w:p>
        </w:tc>
        <w:tc>
          <w:tcPr>
            <w:tcW w:w="810" w:type="dxa"/>
            <w:vAlign w:val="bottom"/>
          </w:tcPr>
          <w:p w14:paraId="0579CB5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w:t>
            </w:r>
          </w:p>
        </w:tc>
        <w:tc>
          <w:tcPr>
            <w:tcW w:w="1260" w:type="dxa"/>
            <w:vAlign w:val="bottom"/>
          </w:tcPr>
          <w:p w14:paraId="2C7A443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w:t>
            </w:r>
          </w:p>
        </w:tc>
        <w:tc>
          <w:tcPr>
            <w:tcW w:w="810" w:type="dxa"/>
            <w:vAlign w:val="bottom"/>
          </w:tcPr>
          <w:p w14:paraId="6996A3C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w:t>
            </w:r>
          </w:p>
        </w:tc>
        <w:tc>
          <w:tcPr>
            <w:tcW w:w="849" w:type="dxa"/>
            <w:vAlign w:val="bottom"/>
          </w:tcPr>
          <w:p w14:paraId="5315E7ED" w14:textId="30ED31E0" w:rsidR="00697ECA" w:rsidRPr="00B9254C" w:rsidRDefault="005E02F5"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Pr>
                <w:sz w:val="17"/>
                <w:lang w:val="en-GB"/>
              </w:rPr>
              <w:t>(1)</w:t>
            </w:r>
          </w:p>
        </w:tc>
      </w:tr>
      <w:tr w:rsidR="00697ECA" w:rsidRPr="00B9254C" w14:paraId="51DCD477" w14:textId="77777777" w:rsidTr="00697ECA">
        <w:tc>
          <w:tcPr>
            <w:tcW w:w="2799" w:type="dxa"/>
            <w:vAlign w:val="bottom"/>
          </w:tcPr>
          <w:p w14:paraId="6CAC759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B9254C">
              <w:rPr>
                <w:b/>
                <w:bCs/>
                <w:sz w:val="17"/>
                <w:lang w:val="en-GB"/>
              </w:rPr>
              <w:t>United Nations Volunteers</w:t>
            </w:r>
          </w:p>
        </w:tc>
        <w:tc>
          <w:tcPr>
            <w:tcW w:w="819" w:type="dxa"/>
            <w:vAlign w:val="bottom"/>
          </w:tcPr>
          <w:p w14:paraId="2F27483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110B431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7818ED7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1260" w:type="dxa"/>
            <w:vAlign w:val="bottom"/>
          </w:tcPr>
          <w:p w14:paraId="6F5BE07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10" w:type="dxa"/>
            <w:vAlign w:val="bottom"/>
          </w:tcPr>
          <w:p w14:paraId="32BE885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c>
          <w:tcPr>
            <w:tcW w:w="849" w:type="dxa"/>
            <w:vAlign w:val="bottom"/>
          </w:tcPr>
          <w:p w14:paraId="52819FD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p>
        </w:tc>
      </w:tr>
      <w:tr w:rsidR="00697ECA" w:rsidRPr="00B9254C" w14:paraId="3424623A" w14:textId="77777777" w:rsidTr="00697ECA">
        <w:tc>
          <w:tcPr>
            <w:tcW w:w="2799" w:type="dxa"/>
            <w:vAlign w:val="bottom"/>
          </w:tcPr>
          <w:p w14:paraId="1FCFB445" w14:textId="7276FB8F"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International</w:t>
            </w:r>
          </w:p>
        </w:tc>
        <w:tc>
          <w:tcPr>
            <w:tcW w:w="819" w:type="dxa"/>
            <w:vAlign w:val="bottom"/>
          </w:tcPr>
          <w:p w14:paraId="7E43892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248</w:t>
            </w:r>
          </w:p>
        </w:tc>
        <w:tc>
          <w:tcPr>
            <w:tcW w:w="1260" w:type="dxa"/>
            <w:vAlign w:val="bottom"/>
          </w:tcPr>
          <w:p w14:paraId="7FF10E4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237</w:t>
            </w:r>
          </w:p>
        </w:tc>
        <w:tc>
          <w:tcPr>
            <w:tcW w:w="810" w:type="dxa"/>
            <w:vAlign w:val="bottom"/>
          </w:tcPr>
          <w:p w14:paraId="5DBCCE4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248</w:t>
            </w:r>
          </w:p>
        </w:tc>
        <w:tc>
          <w:tcPr>
            <w:tcW w:w="1260" w:type="dxa"/>
            <w:vAlign w:val="bottom"/>
          </w:tcPr>
          <w:p w14:paraId="2F42143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180</w:t>
            </w:r>
          </w:p>
        </w:tc>
        <w:tc>
          <w:tcPr>
            <w:tcW w:w="810" w:type="dxa"/>
            <w:vAlign w:val="bottom"/>
          </w:tcPr>
          <w:p w14:paraId="150F6CF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201</w:t>
            </w:r>
          </w:p>
        </w:tc>
        <w:tc>
          <w:tcPr>
            <w:tcW w:w="849" w:type="dxa"/>
            <w:vAlign w:val="bottom"/>
          </w:tcPr>
          <w:p w14:paraId="0BD2E19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(47)</w:t>
            </w:r>
          </w:p>
        </w:tc>
      </w:tr>
      <w:tr w:rsidR="00697ECA" w:rsidRPr="00B9254C" w14:paraId="701235C2" w14:textId="77777777" w:rsidTr="00697ECA">
        <w:tc>
          <w:tcPr>
            <w:tcW w:w="2799" w:type="dxa"/>
            <w:vAlign w:val="bottom"/>
          </w:tcPr>
          <w:p w14:paraId="72D909C8" w14:textId="4200708E"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National</w:t>
            </w:r>
          </w:p>
        </w:tc>
        <w:tc>
          <w:tcPr>
            <w:tcW w:w="819" w:type="dxa"/>
            <w:vAlign w:val="bottom"/>
          </w:tcPr>
          <w:p w14:paraId="0B593F2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55</w:t>
            </w:r>
          </w:p>
        </w:tc>
        <w:tc>
          <w:tcPr>
            <w:tcW w:w="1260" w:type="dxa"/>
            <w:vAlign w:val="bottom"/>
          </w:tcPr>
          <w:p w14:paraId="79D7D06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49</w:t>
            </w:r>
          </w:p>
        </w:tc>
        <w:tc>
          <w:tcPr>
            <w:tcW w:w="810" w:type="dxa"/>
            <w:vAlign w:val="bottom"/>
          </w:tcPr>
          <w:p w14:paraId="676292B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55</w:t>
            </w:r>
          </w:p>
        </w:tc>
        <w:tc>
          <w:tcPr>
            <w:tcW w:w="1260" w:type="dxa"/>
            <w:vAlign w:val="bottom"/>
          </w:tcPr>
          <w:p w14:paraId="4BA4A47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45</w:t>
            </w:r>
          </w:p>
        </w:tc>
        <w:tc>
          <w:tcPr>
            <w:tcW w:w="810" w:type="dxa"/>
            <w:vAlign w:val="bottom"/>
          </w:tcPr>
          <w:p w14:paraId="0647605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55</w:t>
            </w:r>
          </w:p>
        </w:tc>
        <w:tc>
          <w:tcPr>
            <w:tcW w:w="849" w:type="dxa"/>
            <w:vAlign w:val="bottom"/>
          </w:tcPr>
          <w:p w14:paraId="7B470ED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w:t>
            </w:r>
          </w:p>
        </w:tc>
      </w:tr>
      <w:tr w:rsidR="00697ECA" w:rsidRPr="00B9254C" w14:paraId="417C41E8" w14:textId="77777777" w:rsidTr="00697ECA">
        <w:tc>
          <w:tcPr>
            <w:tcW w:w="2799" w:type="dxa"/>
            <w:tcBorders>
              <w:bottom w:val="single" w:sz="4" w:space="0" w:color="auto"/>
            </w:tcBorders>
            <w:vAlign w:val="bottom"/>
          </w:tcPr>
          <w:p w14:paraId="05A54EE3"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B9254C">
              <w:rPr>
                <w:sz w:val="17"/>
                <w:lang w:val="en-GB"/>
              </w:rPr>
              <w:t>Government-provided personnel</w:t>
            </w:r>
          </w:p>
        </w:tc>
        <w:tc>
          <w:tcPr>
            <w:tcW w:w="819" w:type="dxa"/>
            <w:tcBorders>
              <w:bottom w:val="single" w:sz="4" w:space="0" w:color="auto"/>
            </w:tcBorders>
            <w:vAlign w:val="bottom"/>
          </w:tcPr>
          <w:p w14:paraId="31D0143C"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108</w:t>
            </w:r>
          </w:p>
        </w:tc>
        <w:tc>
          <w:tcPr>
            <w:tcW w:w="1260" w:type="dxa"/>
            <w:tcBorders>
              <w:bottom w:val="single" w:sz="4" w:space="0" w:color="auto"/>
            </w:tcBorders>
            <w:vAlign w:val="bottom"/>
          </w:tcPr>
          <w:p w14:paraId="16A51D5D" w14:textId="56E19760"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108</w:t>
            </w:r>
          </w:p>
        </w:tc>
        <w:tc>
          <w:tcPr>
            <w:tcW w:w="810" w:type="dxa"/>
            <w:tcBorders>
              <w:bottom w:val="single" w:sz="4" w:space="0" w:color="auto"/>
            </w:tcBorders>
            <w:vAlign w:val="bottom"/>
          </w:tcPr>
          <w:p w14:paraId="57642AE9"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108</w:t>
            </w:r>
          </w:p>
        </w:tc>
        <w:tc>
          <w:tcPr>
            <w:tcW w:w="1260" w:type="dxa"/>
            <w:tcBorders>
              <w:bottom w:val="single" w:sz="4" w:space="0" w:color="auto"/>
            </w:tcBorders>
            <w:vAlign w:val="bottom"/>
          </w:tcPr>
          <w:p w14:paraId="38CF1A57"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89</w:t>
            </w:r>
          </w:p>
        </w:tc>
        <w:tc>
          <w:tcPr>
            <w:tcW w:w="810" w:type="dxa"/>
            <w:tcBorders>
              <w:bottom w:val="single" w:sz="4" w:space="0" w:color="auto"/>
            </w:tcBorders>
            <w:vAlign w:val="bottom"/>
          </w:tcPr>
          <w:p w14:paraId="7C325272"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108</w:t>
            </w:r>
          </w:p>
        </w:tc>
        <w:tc>
          <w:tcPr>
            <w:tcW w:w="849" w:type="dxa"/>
            <w:tcBorders>
              <w:bottom w:val="single" w:sz="4" w:space="0" w:color="auto"/>
            </w:tcBorders>
            <w:vAlign w:val="bottom"/>
          </w:tcPr>
          <w:p w14:paraId="3191CD43"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r w:rsidRPr="00B9254C">
              <w:rPr>
                <w:sz w:val="17"/>
                <w:lang w:val="en-GB"/>
              </w:rPr>
              <w:t>–</w:t>
            </w:r>
          </w:p>
        </w:tc>
      </w:tr>
      <w:tr w:rsidR="00697ECA" w:rsidRPr="00B9254C" w14:paraId="5EC76FF1" w14:textId="77777777" w:rsidTr="00697ECA">
        <w:tc>
          <w:tcPr>
            <w:tcW w:w="2799" w:type="dxa"/>
            <w:tcBorders>
              <w:top w:val="single" w:sz="4" w:space="0" w:color="auto"/>
              <w:bottom w:val="single" w:sz="12" w:space="0" w:color="auto"/>
            </w:tcBorders>
            <w:vAlign w:val="bottom"/>
          </w:tcPr>
          <w:p w14:paraId="56F92E75" w14:textId="13730531"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B9254C">
              <w:rPr>
                <w:b/>
                <w:sz w:val="17"/>
                <w:lang w:val="en-GB"/>
              </w:rPr>
              <w:tab/>
              <w:t>Total</w:t>
            </w:r>
          </w:p>
        </w:tc>
        <w:tc>
          <w:tcPr>
            <w:tcW w:w="819" w:type="dxa"/>
            <w:tcBorders>
              <w:top w:val="single" w:sz="4" w:space="0" w:color="auto"/>
              <w:bottom w:val="single" w:sz="12" w:space="0" w:color="auto"/>
            </w:tcBorders>
            <w:vAlign w:val="bottom"/>
          </w:tcPr>
          <w:p w14:paraId="30781BCA"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1 823</w:t>
            </w:r>
          </w:p>
        </w:tc>
        <w:tc>
          <w:tcPr>
            <w:tcW w:w="1260" w:type="dxa"/>
            <w:tcBorders>
              <w:top w:val="single" w:sz="4" w:space="0" w:color="auto"/>
              <w:bottom w:val="single" w:sz="12" w:space="0" w:color="auto"/>
            </w:tcBorders>
            <w:vAlign w:val="bottom"/>
          </w:tcPr>
          <w:p w14:paraId="0ACEF3B2" w14:textId="3E9AE21F"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1 682</w:t>
            </w:r>
          </w:p>
        </w:tc>
        <w:tc>
          <w:tcPr>
            <w:tcW w:w="810" w:type="dxa"/>
            <w:tcBorders>
              <w:top w:val="single" w:sz="4" w:space="0" w:color="auto"/>
              <w:bottom w:val="single" w:sz="12" w:space="0" w:color="auto"/>
            </w:tcBorders>
            <w:vAlign w:val="bottom"/>
          </w:tcPr>
          <w:p w14:paraId="4067A8F0"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1 822</w:t>
            </w:r>
          </w:p>
        </w:tc>
        <w:tc>
          <w:tcPr>
            <w:tcW w:w="1260" w:type="dxa"/>
            <w:tcBorders>
              <w:top w:val="single" w:sz="4" w:space="0" w:color="auto"/>
              <w:bottom w:val="single" w:sz="12" w:space="0" w:color="auto"/>
            </w:tcBorders>
            <w:vAlign w:val="bottom"/>
          </w:tcPr>
          <w:p w14:paraId="63C8DEA5"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1 511</w:t>
            </w:r>
          </w:p>
        </w:tc>
        <w:tc>
          <w:tcPr>
            <w:tcW w:w="810" w:type="dxa"/>
            <w:tcBorders>
              <w:top w:val="single" w:sz="4" w:space="0" w:color="auto"/>
              <w:bottom w:val="single" w:sz="12" w:space="0" w:color="auto"/>
            </w:tcBorders>
            <w:vAlign w:val="bottom"/>
          </w:tcPr>
          <w:p w14:paraId="2C124984"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1 672</w:t>
            </w:r>
          </w:p>
        </w:tc>
        <w:tc>
          <w:tcPr>
            <w:tcW w:w="849" w:type="dxa"/>
            <w:tcBorders>
              <w:top w:val="single" w:sz="4" w:space="0" w:color="auto"/>
              <w:bottom w:val="single" w:sz="12" w:space="0" w:color="auto"/>
            </w:tcBorders>
            <w:vAlign w:val="bottom"/>
          </w:tcPr>
          <w:p w14:paraId="549B242B" w14:textId="77777777" w:rsidR="00697ECA" w:rsidRPr="00B9254C" w:rsidRDefault="00697ECA" w:rsidP="0020313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r w:rsidRPr="00B9254C">
              <w:rPr>
                <w:b/>
                <w:sz w:val="17"/>
                <w:lang w:val="en-GB"/>
              </w:rPr>
              <w:t>(150)</w:t>
            </w:r>
          </w:p>
        </w:tc>
      </w:tr>
    </w:tbl>
    <w:p w14:paraId="0C121075" w14:textId="77777777" w:rsidR="00E90676" w:rsidRPr="00B9254C" w:rsidRDefault="00E90676" w:rsidP="00E90676">
      <w:pPr>
        <w:pStyle w:val="SingleTxt"/>
        <w:spacing w:after="0" w:line="120" w:lineRule="exact"/>
        <w:rPr>
          <w:sz w:val="10"/>
          <w:lang w:val="en-GB"/>
        </w:rPr>
      </w:pPr>
    </w:p>
    <w:p w14:paraId="1438C102" w14:textId="2A94D435" w:rsidR="00D87DC9" w:rsidRPr="00B9254C" w:rsidRDefault="00E90676" w:rsidP="00697ECA">
      <w:pPr>
        <w:pStyle w:val="FootnoteText"/>
        <w:tabs>
          <w:tab w:val="clear" w:pos="418"/>
          <w:tab w:val="right" w:pos="1476"/>
          <w:tab w:val="left" w:pos="1548"/>
          <w:tab w:val="right" w:pos="1836"/>
          <w:tab w:val="left" w:pos="1908"/>
        </w:tabs>
        <w:spacing w:line="190" w:lineRule="exact"/>
        <w:ind w:left="1555" w:hanging="288"/>
        <w:rPr>
          <w:lang w:val="en-GB"/>
        </w:rPr>
      </w:pPr>
      <w:r w:rsidRPr="00B9254C">
        <w:rPr>
          <w:lang w:val="en-GB"/>
        </w:rPr>
        <w:tab/>
      </w:r>
      <w:r w:rsidR="00D87DC9" w:rsidRPr="00B9254C">
        <w:rPr>
          <w:i/>
          <w:iCs/>
          <w:vertAlign w:val="superscript"/>
          <w:lang w:val="en-GB"/>
        </w:rPr>
        <w:t>a</w:t>
      </w:r>
      <w:r w:rsidRPr="00B9254C">
        <w:rPr>
          <w:lang w:val="en-GB"/>
        </w:rPr>
        <w:tab/>
      </w:r>
      <w:r w:rsidR="00D87DC9" w:rsidRPr="00B9254C">
        <w:rPr>
          <w:lang w:val="en-GB"/>
        </w:rPr>
        <w:t>Funded under general temporary assistance.</w:t>
      </w:r>
    </w:p>
    <w:p w14:paraId="51281F8F" w14:textId="77777777" w:rsidR="00171E00" w:rsidRPr="00B9254C" w:rsidRDefault="00171E00" w:rsidP="00171E00">
      <w:pPr>
        <w:pStyle w:val="SingleTxt"/>
        <w:spacing w:after="0" w:line="120" w:lineRule="exact"/>
        <w:rPr>
          <w:sz w:val="10"/>
          <w:lang w:val="en-GB"/>
        </w:rPr>
      </w:pPr>
    </w:p>
    <w:p w14:paraId="03C32D9F" w14:textId="77777777" w:rsidR="00171E00" w:rsidRPr="00B9254C" w:rsidRDefault="00171E00" w:rsidP="00171E00">
      <w:pPr>
        <w:pStyle w:val="SingleTxt"/>
        <w:spacing w:after="0" w:line="120" w:lineRule="exact"/>
        <w:rPr>
          <w:sz w:val="10"/>
          <w:lang w:val="en-GB"/>
        </w:rPr>
      </w:pPr>
    </w:p>
    <w:p w14:paraId="25EDC221" w14:textId="291F4721" w:rsidR="00D87DC9" w:rsidRPr="00B9254C" w:rsidRDefault="00D87DC9" w:rsidP="00D87DC9">
      <w:pPr>
        <w:pStyle w:val="SingleTxt"/>
        <w:rPr>
          <w:lang w:val="en-GB"/>
        </w:rPr>
      </w:pPr>
      <w:r w:rsidRPr="00B9254C">
        <w:rPr>
          <w:lang w:val="en-GB"/>
        </w:rPr>
        <w:t>22.</w:t>
      </w:r>
      <w:r w:rsidRPr="00B9254C">
        <w:rPr>
          <w:lang w:val="en-GB"/>
        </w:rPr>
        <w:tab/>
        <w:t>The proposed resources for civilian personnel for the 2026/27 period amount to $238,899,400, reflecting a decrease of $17,606,600, or 6.9 per cent, compared with the approved resources of $256,506,000 for 2025/26, attributable primarily to the net effect of the proposed abolishment of 74 international posts, 47 international United Nations Volunteers (37 electoral-related positions and 10 other positions) and 30</w:t>
      </w:r>
      <w:r w:rsidR="00203135">
        <w:rPr>
          <w:lang w:val="en-GB"/>
        </w:rPr>
        <w:t> </w:t>
      </w:r>
      <w:r w:rsidRPr="00B9254C">
        <w:rPr>
          <w:lang w:val="en-GB"/>
        </w:rPr>
        <w:t>electoral-related general temporary assistance positions (29 international and one national); a lower vacancy rate for international staff (4.0 per cent compared with 8.9</w:t>
      </w:r>
      <w:r w:rsidR="00203135">
        <w:rPr>
          <w:lang w:val="en-GB"/>
        </w:rPr>
        <w:t> </w:t>
      </w:r>
      <w:r w:rsidRPr="00B9254C">
        <w:rPr>
          <w:lang w:val="en-GB"/>
        </w:rPr>
        <w:t>per cent) and a higher vacancy rate for national temporary positions (90.0 per cent compared with 9.1 per cent) and government-provided personnel (63.0 per cent compared with 0.9 per cent); lower common staff cost rates; and a higher exchange rate of CFA francs to the United States dollar (ibid., paras. 92</w:t>
      </w:r>
      <w:r w:rsidR="00697ECA" w:rsidRPr="00B9254C">
        <w:rPr>
          <w:lang w:val="en-GB"/>
        </w:rPr>
        <w:t>–</w:t>
      </w:r>
      <w:r w:rsidRPr="00B9254C">
        <w:rPr>
          <w:lang w:val="en-GB"/>
        </w:rPr>
        <w:t>104).</w:t>
      </w:r>
    </w:p>
    <w:p w14:paraId="2D3D34BF" w14:textId="77777777" w:rsidR="00D87DC9" w:rsidRPr="00B9254C" w:rsidRDefault="00D87DC9" w:rsidP="00697ECA">
      <w:pPr>
        <w:pStyle w:val="SingleTxt"/>
        <w:spacing w:after="0" w:line="120" w:lineRule="exact"/>
        <w:rPr>
          <w:sz w:val="10"/>
          <w:lang w:val="en-GB"/>
        </w:rPr>
      </w:pPr>
    </w:p>
    <w:p w14:paraId="201D452D" w14:textId="2706D3B2"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Recommendations on posts and positions</w:t>
      </w:r>
    </w:p>
    <w:p w14:paraId="1DF39542" w14:textId="77777777" w:rsidR="00D87DC9" w:rsidRPr="00B9254C" w:rsidRDefault="00D87DC9" w:rsidP="00697ECA">
      <w:pPr>
        <w:pStyle w:val="SingleTxt"/>
        <w:spacing w:after="0" w:line="120" w:lineRule="exact"/>
        <w:rPr>
          <w:sz w:val="10"/>
          <w:lang w:val="en-GB"/>
        </w:rPr>
      </w:pPr>
    </w:p>
    <w:p w14:paraId="24B1CA83" w14:textId="77777777" w:rsidR="00D87DC9" w:rsidRPr="00B9254C" w:rsidRDefault="00D87DC9" w:rsidP="00D87DC9">
      <w:pPr>
        <w:pStyle w:val="SingleTxt"/>
        <w:rPr>
          <w:lang w:val="en-GB"/>
        </w:rPr>
      </w:pPr>
      <w:r w:rsidRPr="00B9254C">
        <w:rPr>
          <w:lang w:val="en-GB"/>
        </w:rPr>
        <w:t>23.</w:t>
      </w:r>
      <w:r w:rsidRPr="00B9254C">
        <w:rPr>
          <w:lang w:val="en-GB"/>
        </w:rPr>
        <w:tab/>
        <w:t>The Secretary-General proposes a total of 1,672 civilian posts and positions for 2026/27, comprising 872 international staff (670 international staff, 1 international general temporary assistance position and 201 international United Nations Volunteers), 692 national staff (117 National Professional Officers, 510 national General Service staff, 10 national general temporary assistance positions and 55 national United Nations Volunteers) and 108 government-provided personnel, reflecting a net decrease of 150 posts and positions compared with the budget approved for 2025/26.</w:t>
      </w:r>
    </w:p>
    <w:p w14:paraId="53B2CCA5" w14:textId="77777777" w:rsidR="00D87DC9" w:rsidRPr="00B9254C" w:rsidRDefault="00D87DC9" w:rsidP="00697ECA">
      <w:pPr>
        <w:pStyle w:val="SingleTxt"/>
        <w:spacing w:after="0" w:line="120" w:lineRule="exact"/>
        <w:rPr>
          <w:sz w:val="10"/>
          <w:lang w:val="en-GB"/>
        </w:rPr>
      </w:pPr>
    </w:p>
    <w:p w14:paraId="0D61B39B" w14:textId="0B3366C4"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 xml:space="preserve">Abolishment of all electoral support positions </w:t>
      </w:r>
    </w:p>
    <w:p w14:paraId="7833F6BB" w14:textId="77777777" w:rsidR="00D87DC9" w:rsidRPr="00B9254C" w:rsidRDefault="00D87DC9" w:rsidP="00697ECA">
      <w:pPr>
        <w:pStyle w:val="SingleTxt"/>
        <w:spacing w:after="0" w:line="120" w:lineRule="exact"/>
        <w:rPr>
          <w:sz w:val="10"/>
          <w:lang w:val="en-GB"/>
        </w:rPr>
      </w:pPr>
    </w:p>
    <w:p w14:paraId="7C8D5153" w14:textId="77777777" w:rsidR="00D87DC9" w:rsidRPr="00B9254C" w:rsidRDefault="00D87DC9" w:rsidP="00D87DC9">
      <w:pPr>
        <w:pStyle w:val="SingleTxt"/>
        <w:rPr>
          <w:lang w:val="en-GB"/>
        </w:rPr>
      </w:pPr>
      <w:r w:rsidRPr="00B9254C">
        <w:rPr>
          <w:lang w:val="en-GB"/>
        </w:rPr>
        <w:t>24.</w:t>
      </w:r>
      <w:r w:rsidRPr="00B9254C">
        <w:rPr>
          <w:lang w:val="en-GB"/>
        </w:rPr>
        <w:tab/>
        <w:t>In connection with the removal of all electoral support resources, it is proposed to abolish the Electoral Affairs Service, including all 67 of its general temporary assistance positions, as follows: 29 international positions (1 Principal Electoral Affairs Officer (D-1), 27 Electoral Officers (5 P-4, 22 P-3), 1 Administrative Assistant (Field Service)), 1 national position (1 Driver (General Service)) and 37 international United Nations Volunteer positions (Electoral Officers) (ibid., para. 47, and table 2 below). It is also proposed to abolish three electoral support posts in the Political Affairs Division, comprising 1 Senior Electoral Officer (P-5) and 2 Electoral Officers (P-4) (ibid., para. 47, and table 2 below).</w:t>
      </w:r>
    </w:p>
    <w:p w14:paraId="5475E4D9" w14:textId="77777777" w:rsidR="00D87DC9" w:rsidRPr="00B9254C" w:rsidRDefault="00D87DC9" w:rsidP="00697ECA">
      <w:pPr>
        <w:pStyle w:val="SingleTxt"/>
        <w:spacing w:after="0" w:line="120" w:lineRule="exact"/>
        <w:rPr>
          <w:sz w:val="10"/>
          <w:lang w:val="en-GB"/>
        </w:rPr>
      </w:pPr>
    </w:p>
    <w:p w14:paraId="49D930DF" w14:textId="058BE060"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Other proposed staffing changes</w:t>
      </w:r>
    </w:p>
    <w:p w14:paraId="2C34C543" w14:textId="77777777" w:rsidR="00D87DC9" w:rsidRPr="00B9254C" w:rsidRDefault="00D87DC9" w:rsidP="00697ECA">
      <w:pPr>
        <w:pStyle w:val="SingleTxt"/>
        <w:spacing w:after="0" w:line="120" w:lineRule="exact"/>
        <w:rPr>
          <w:sz w:val="10"/>
          <w:lang w:val="en-GB"/>
        </w:rPr>
      </w:pPr>
    </w:p>
    <w:p w14:paraId="7B9E1417" w14:textId="3DADDA0D" w:rsidR="00D87DC9" w:rsidRPr="00B9254C" w:rsidRDefault="00D87DC9" w:rsidP="00E90676">
      <w:pPr>
        <w:pStyle w:val="SingleTxt"/>
        <w:rPr>
          <w:lang w:val="en-GB"/>
        </w:rPr>
      </w:pPr>
      <w:r w:rsidRPr="00B9254C">
        <w:rPr>
          <w:lang w:val="en-GB"/>
        </w:rPr>
        <w:t>25.</w:t>
      </w:r>
      <w:r w:rsidRPr="00B9254C">
        <w:rPr>
          <w:lang w:val="en-GB"/>
        </w:rPr>
        <w:tab/>
        <w:t>Following a review of operational requirements and workload distribution, a number of functions will be consolidated and responsibilities redistributed and a total of 151 posts and positions are proposed for abolishment, comprising 74 posts (1 D-1, 7 P-5, 18 P-4, 19 P-3, 29 Field Service) and 77 positions (30 general temporary assistance positions (1 D-1, 5 P-4, 22 P-3, 1 Field Service, 1 national General Service) and 47 international United Nations Volunteers).</w:t>
      </w:r>
    </w:p>
    <w:p w14:paraId="7A75B043" w14:textId="77777777" w:rsidR="00D87DC9" w:rsidRPr="00B9254C" w:rsidRDefault="00D87DC9" w:rsidP="00D87DC9">
      <w:pPr>
        <w:pStyle w:val="SingleTxt"/>
        <w:rPr>
          <w:lang w:val="en-GB"/>
        </w:rPr>
      </w:pPr>
      <w:r w:rsidRPr="00B9254C">
        <w:rPr>
          <w:lang w:val="en-GB"/>
        </w:rPr>
        <w:t>26.</w:t>
      </w:r>
      <w:r w:rsidRPr="00B9254C">
        <w:rPr>
          <w:lang w:val="en-GB"/>
        </w:rPr>
        <w:tab/>
        <w:t>The following redeployments are proposed (excluding redeployments related to the consolidation of the Joint Operations Centre and the Joint Mission Analysis Centre (see paras. 29 and 30 below):</w:t>
      </w:r>
    </w:p>
    <w:p w14:paraId="0FF7E890" w14:textId="3F55DD51" w:rsidR="00D87DC9" w:rsidRPr="00B9254C" w:rsidRDefault="003046F9" w:rsidP="00D87DC9">
      <w:pPr>
        <w:pStyle w:val="SingleTxt"/>
        <w:rPr>
          <w:spacing w:val="3"/>
          <w:lang w:val="en-GB"/>
        </w:rPr>
      </w:pPr>
      <w:r w:rsidRPr="00B9254C">
        <w:rPr>
          <w:spacing w:val="3"/>
          <w:lang w:val="en-GB"/>
        </w:rPr>
        <w:tab/>
      </w:r>
      <w:r w:rsidR="00D87DC9" w:rsidRPr="00B9254C">
        <w:rPr>
          <w:spacing w:val="3"/>
          <w:lang w:val="en-GB"/>
        </w:rPr>
        <w:t>(a)</w:t>
      </w:r>
      <w:r w:rsidR="00D87DC9" w:rsidRPr="00B9254C">
        <w:rPr>
          <w:spacing w:val="3"/>
          <w:lang w:val="en-GB"/>
        </w:rPr>
        <w:tab/>
        <w:t>One national United Nations Volunteer to the Office of the Deputy Special Representative of the Secretary-General (Resident Coordinator/Humanitarian Coordinator) to strengthen the capacity to support victims’ rights (</w:t>
      </w:r>
      <w:hyperlink r:id="rId34" w:history="1">
        <w:r w:rsidR="00D87DC9" w:rsidRPr="00B9254C">
          <w:rPr>
            <w:rStyle w:val="Hyperlink"/>
            <w:spacing w:val="3"/>
            <w:lang w:val="en-GB"/>
          </w:rPr>
          <w:t>A/80/623</w:t>
        </w:r>
      </w:hyperlink>
      <w:r w:rsidR="00D87DC9" w:rsidRPr="00B9254C">
        <w:rPr>
          <w:spacing w:val="3"/>
          <w:lang w:val="en-GB"/>
        </w:rPr>
        <w:t>, para. 48);</w:t>
      </w:r>
    </w:p>
    <w:p w14:paraId="34A19748" w14:textId="07C50E53" w:rsidR="00D87DC9" w:rsidRPr="00B9254C" w:rsidRDefault="003046F9" w:rsidP="00D87DC9">
      <w:pPr>
        <w:pStyle w:val="SingleTxt"/>
        <w:rPr>
          <w:lang w:val="en-GB"/>
        </w:rPr>
      </w:pPr>
      <w:r w:rsidRPr="00B9254C">
        <w:rPr>
          <w:lang w:val="en-GB"/>
        </w:rPr>
        <w:tab/>
      </w:r>
      <w:r w:rsidR="00D87DC9" w:rsidRPr="00B9254C">
        <w:rPr>
          <w:lang w:val="en-GB"/>
        </w:rPr>
        <w:t>(b)</w:t>
      </w:r>
      <w:r w:rsidR="00D87DC9" w:rsidRPr="00B9254C">
        <w:rPr>
          <w:lang w:val="en-GB"/>
        </w:rPr>
        <w:tab/>
        <w:t>Six posts (1 P-3, 4 National Professional Officer and 1 national General Service) to the Office of the Deputy Special Representative of the Secretary-General (Protection-Operations) to advise senior leadership and provide technical guidance on gender equality and women’s empowerment (ibid., paras. 49</w:t>
      </w:r>
      <w:r w:rsidR="00697ECA" w:rsidRPr="00B9254C">
        <w:rPr>
          <w:lang w:val="en-GB"/>
        </w:rPr>
        <w:t>–</w:t>
      </w:r>
      <w:r w:rsidR="00D87DC9" w:rsidRPr="00B9254C">
        <w:rPr>
          <w:lang w:val="en-GB"/>
        </w:rPr>
        <w:t>50);</w:t>
      </w:r>
    </w:p>
    <w:p w14:paraId="36357D1F" w14:textId="27DC8402" w:rsidR="00D87DC9" w:rsidRPr="00B9254C" w:rsidRDefault="003046F9" w:rsidP="00D87DC9">
      <w:pPr>
        <w:pStyle w:val="SingleTxt"/>
        <w:rPr>
          <w:lang w:val="en-GB"/>
        </w:rPr>
      </w:pPr>
      <w:r w:rsidRPr="00B9254C">
        <w:rPr>
          <w:lang w:val="en-GB"/>
        </w:rPr>
        <w:tab/>
      </w:r>
      <w:r w:rsidR="00D87DC9" w:rsidRPr="00B9254C">
        <w:rPr>
          <w:lang w:val="en-GB"/>
        </w:rPr>
        <w:t>(c)</w:t>
      </w:r>
      <w:r w:rsidR="00D87DC9" w:rsidRPr="00B9254C">
        <w:rPr>
          <w:lang w:val="en-GB"/>
        </w:rPr>
        <w:tab/>
        <w:t xml:space="preserve">One P-4 post to the Office of the Chief of Staff to strengthen the capacity for cross-cutting coordination, mission planning, strategic reporting, decision-tracking and liaison with senior leadership and field elements (ibid., para. 51); </w:t>
      </w:r>
    </w:p>
    <w:p w14:paraId="3D0DF18B" w14:textId="2812456B" w:rsidR="00D87DC9" w:rsidRPr="00B9254C" w:rsidRDefault="003046F9" w:rsidP="00D87DC9">
      <w:pPr>
        <w:pStyle w:val="SingleTxt"/>
        <w:rPr>
          <w:lang w:val="en-GB"/>
        </w:rPr>
      </w:pPr>
      <w:r w:rsidRPr="00B9254C">
        <w:rPr>
          <w:lang w:val="en-GB"/>
        </w:rPr>
        <w:tab/>
      </w:r>
      <w:r w:rsidR="00D87DC9" w:rsidRPr="00B9254C">
        <w:rPr>
          <w:lang w:val="en-GB"/>
        </w:rPr>
        <w:t>(d)</w:t>
      </w:r>
      <w:r w:rsidR="00D87DC9" w:rsidRPr="00B9254C">
        <w:rPr>
          <w:lang w:val="en-GB"/>
        </w:rPr>
        <w:tab/>
        <w:t>One Field Service post to the Office of the Chief of Staff to strengthen the administrative and operational support capacity of the Office of the Chief of Staff and to provide support to the Chief of Staff and the Field Coordination Office and to all sections under the Office of the Chief of Staff (ibid., para. 52);</w:t>
      </w:r>
    </w:p>
    <w:p w14:paraId="7E291982" w14:textId="0A6D8EF7" w:rsidR="00D87DC9" w:rsidRPr="00B9254C" w:rsidRDefault="003046F9" w:rsidP="003046F9">
      <w:pPr>
        <w:pStyle w:val="SingleTxt"/>
        <w:rPr>
          <w:spacing w:val="2"/>
          <w:lang w:val="en-GB"/>
        </w:rPr>
      </w:pPr>
      <w:r w:rsidRPr="00B9254C">
        <w:rPr>
          <w:spacing w:val="2"/>
          <w:lang w:val="en-GB"/>
        </w:rPr>
        <w:tab/>
      </w:r>
      <w:r w:rsidR="00D87DC9" w:rsidRPr="00B9254C">
        <w:rPr>
          <w:spacing w:val="2"/>
          <w:lang w:val="en-GB"/>
        </w:rPr>
        <w:t>(e)</w:t>
      </w:r>
      <w:r w:rsidR="00D87DC9" w:rsidRPr="00B9254C">
        <w:rPr>
          <w:spacing w:val="2"/>
          <w:lang w:val="en-GB"/>
        </w:rPr>
        <w:tab/>
        <w:t xml:space="preserve">One national General Service post to the Office of the Chief of Staff to strengthen the logistical and operational efficiency of the Office of the Chief of Staff and to provide driver support to the Chief of Staff and the front office (ibid., para. 53). </w:t>
      </w:r>
    </w:p>
    <w:p w14:paraId="547B4291" w14:textId="23D3FAF6" w:rsidR="00D87DC9" w:rsidRPr="00B9254C" w:rsidRDefault="00D87DC9" w:rsidP="003046F9">
      <w:pPr>
        <w:pStyle w:val="SingleTxt"/>
        <w:rPr>
          <w:spacing w:val="2"/>
          <w:w w:val="102"/>
          <w:lang w:val="en-GB"/>
        </w:rPr>
      </w:pPr>
      <w:r w:rsidRPr="00B9254C">
        <w:rPr>
          <w:spacing w:val="2"/>
          <w:w w:val="102"/>
          <w:lang w:val="en-GB"/>
        </w:rPr>
        <w:t>27.</w:t>
      </w:r>
      <w:r w:rsidRPr="00B9254C">
        <w:rPr>
          <w:spacing w:val="2"/>
          <w:w w:val="102"/>
          <w:lang w:val="en-GB"/>
        </w:rPr>
        <w:tab/>
        <w:t>It is proposed to reassign one national General Service post as an Information Management Assistant in the Mission Planning Unit to strengthen the capacity to support data collection, analysis and visualization for strategic decision-making (ibid., para. 58).</w:t>
      </w:r>
    </w:p>
    <w:p w14:paraId="17B59B08" w14:textId="2747332A" w:rsidR="00D87DC9" w:rsidRPr="00B9254C" w:rsidRDefault="00D87DC9" w:rsidP="00D87DC9">
      <w:pPr>
        <w:pStyle w:val="SingleTxt"/>
        <w:rPr>
          <w:lang w:val="en-GB"/>
        </w:rPr>
      </w:pPr>
      <w:r w:rsidRPr="00B9254C">
        <w:rPr>
          <w:lang w:val="en-GB"/>
        </w:rPr>
        <w:t>28.</w:t>
      </w:r>
      <w:r w:rsidRPr="00B9254C">
        <w:rPr>
          <w:lang w:val="en-GB"/>
        </w:rPr>
        <w:tab/>
        <w:t xml:space="preserve">It is proposed to establish one post of Victims’ Rights Officer (National Professional Officer) in the Office of the Deputy Special Representative of the Secretary-General (Resident Coordinator/Humanitarian Coordinator). The proposal is in response to the request from the General Assembly in its resolution </w:t>
      </w:r>
      <w:hyperlink r:id="rId35" w:history="1">
        <w:r w:rsidRPr="00B9254C">
          <w:rPr>
            <w:rStyle w:val="Hyperlink"/>
            <w:lang w:val="en-GB"/>
          </w:rPr>
          <w:t>76/274</w:t>
        </w:r>
      </w:hyperlink>
      <w:r w:rsidRPr="00B9254C">
        <w:rPr>
          <w:lang w:val="en-GB"/>
        </w:rPr>
        <w:t xml:space="preserve"> for further nationalization and taking into account the proposed abolishment of one Senior Victims’ Rights Officer (P-5) in the Office of the Special Representative of the Secretary-General. The proposed national post would ensure continued delivery of victims’ rights functions by leveraging national expertise, language proficiency and knowledge of the local context (ibid., para. 59).</w:t>
      </w:r>
    </w:p>
    <w:p w14:paraId="2D093A07" w14:textId="77777777" w:rsidR="00D87DC9" w:rsidRPr="00B9254C" w:rsidRDefault="00D87DC9" w:rsidP="00697ECA">
      <w:pPr>
        <w:pStyle w:val="SingleTxt"/>
        <w:spacing w:after="0" w:line="120" w:lineRule="exact"/>
        <w:rPr>
          <w:sz w:val="10"/>
          <w:lang w:val="en-GB"/>
        </w:rPr>
      </w:pPr>
    </w:p>
    <w:p w14:paraId="5603FA41" w14:textId="17661FBF"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Redeployments in connection with the consolidation of the Joint Operations Centre and the Joint Mission Analysis Centre</w:t>
      </w:r>
    </w:p>
    <w:p w14:paraId="71A4760A" w14:textId="77777777" w:rsidR="00D87DC9" w:rsidRPr="00B9254C" w:rsidRDefault="00D87DC9" w:rsidP="00697ECA">
      <w:pPr>
        <w:pStyle w:val="SingleTxt"/>
        <w:spacing w:after="0" w:line="120" w:lineRule="exact"/>
        <w:rPr>
          <w:sz w:val="10"/>
          <w:lang w:val="en-GB"/>
        </w:rPr>
      </w:pPr>
    </w:p>
    <w:p w14:paraId="41877ABC" w14:textId="160DD93B" w:rsidR="00D87DC9" w:rsidRPr="00B9254C" w:rsidRDefault="00D87DC9" w:rsidP="003046F9">
      <w:pPr>
        <w:pStyle w:val="SingleTxt"/>
        <w:rPr>
          <w:w w:val="102"/>
          <w:lang w:val="en-GB"/>
        </w:rPr>
      </w:pPr>
      <w:r w:rsidRPr="00B9254C">
        <w:rPr>
          <w:w w:val="102"/>
          <w:lang w:val="en-GB"/>
        </w:rPr>
        <w:t>29.</w:t>
      </w:r>
      <w:r w:rsidRPr="00B9254C">
        <w:rPr>
          <w:w w:val="102"/>
          <w:lang w:val="en-GB"/>
        </w:rPr>
        <w:tab/>
        <w:t>As described in paragraphs 54 to 57 of the report of the Secretary-General, the consolidation of the Joint Operations Centre and the Joint Mission Analysis Centre into a single organizational unit, to be named the Joint Coordination and Analysis Centre, is proposed to streamline operational and analytical functions, strengthen coordination across Mission components and improve the timeliness and quality of decision-making. According to the report, the consolidated Centre will leverage digital transformation, including artificial intelligence-enabled analytics, automated incident monitoring and real-time dashboards; function as the central hub for multi-source information management; and reinforce collaboration with the Military U2 cell, the Police Operations Centre and the Security Operations Centre. The Centre will be staffed with 44 posts and positions (2 P-5, 8 P-3, 4 P-2, 6 National Professional Officer, 1 national General Service and 23 United Nations Volunteer), namely, with 21 posts and positions proposed to be redeployed from the dismantled Joint Mission Analysis Centre (1 P-5, 3 P-3, 2 P-2, 4 National Professional Officer, 1 national General Service and 10 international United Nations Volunteer) and 23 posts and positions to be redeployed from the dismantled Joint Operations Centre (1 P-5, 5 P-3, 2 P-2, 2</w:t>
      </w:r>
      <w:r w:rsidR="00DE7052" w:rsidRPr="00B9254C">
        <w:rPr>
          <w:w w:val="102"/>
          <w:lang w:val="en-GB"/>
        </w:rPr>
        <w:t> </w:t>
      </w:r>
      <w:r w:rsidRPr="00B9254C">
        <w:rPr>
          <w:w w:val="102"/>
          <w:lang w:val="en-GB"/>
        </w:rPr>
        <w:t>National Professional Officer and 13 international United Nations Volunteer).</w:t>
      </w:r>
    </w:p>
    <w:p w14:paraId="0C963C2D" w14:textId="6AB40519" w:rsidR="00D87DC9" w:rsidRPr="00B9254C" w:rsidRDefault="00D87DC9" w:rsidP="003046F9">
      <w:pPr>
        <w:pStyle w:val="SingleTxt"/>
        <w:rPr>
          <w:lang w:val="en-GB"/>
        </w:rPr>
      </w:pPr>
      <w:r w:rsidRPr="00B9254C">
        <w:rPr>
          <w:lang w:val="en-GB"/>
        </w:rPr>
        <w:t>30.</w:t>
      </w:r>
      <w:r w:rsidRPr="00B9254C">
        <w:rPr>
          <w:lang w:val="en-GB"/>
        </w:rPr>
        <w:tab/>
        <w:t xml:space="preserve">Upon enquiry, the Advisory Committee was informed that the proposed consolidation of the Joint Operations Centre and the Joint Mission Analysis Centre is considered mission-specific and is designed to support the reconfiguration and transition phase of MINUSCA. The consolidation is not considered a predetermined model for application across all peacekeeping missions. The new Centre would have clear functional separation between operational monitoring and forward-looking analysis, with a core objective of aligning analysis with operational coordination by avoiding parallel or duplicative products. The Committee notes the proposal to consolidate the Joint Operations Centre and the Joint Mission Analysis Centre into the Joint Coordination and Analysis Centre as a mission-specific structural change reflecting the reconfiguration and transition phase of MINUSCA. </w:t>
      </w:r>
      <w:r w:rsidRPr="00B9254C">
        <w:rPr>
          <w:b/>
          <w:bCs/>
          <w:lang w:val="en-GB"/>
        </w:rPr>
        <w:t>While supporting efforts to avoid duplication, the Advisory Committee trusts that measures will be implemented to ensure the independence and integrity of functions related to situational awareness and operational coordination on the one hand and longer-term integrated strategic analysis on the other. In this regard, the Committee expects clear arrangements for functional separation, including tasking, reporting lines and product differentiation, as well as mechanisms to preserve analytical independence. The Committee looks forward to receiving, in the next budget report, information on the operationalization of the consolidated structure, including its internal organization, improvements in data flows and demonstrable efficiencies achieved.</w:t>
      </w:r>
    </w:p>
    <w:p w14:paraId="7A8F4E14" w14:textId="3C677462" w:rsidR="00D87DC9" w:rsidRPr="00B9254C" w:rsidRDefault="00D87DC9" w:rsidP="00D87DC9">
      <w:pPr>
        <w:pStyle w:val="SingleTxt"/>
        <w:rPr>
          <w:lang w:val="en-GB"/>
        </w:rPr>
      </w:pPr>
      <w:r w:rsidRPr="00B9254C">
        <w:rPr>
          <w:lang w:val="en-GB"/>
        </w:rPr>
        <w:t>31.</w:t>
      </w:r>
      <w:r w:rsidRPr="00B9254C">
        <w:rPr>
          <w:lang w:val="en-GB"/>
        </w:rPr>
        <w:tab/>
        <w:t>The Committee discusses the organizational design and structural changes in its report on cross-cutting issues related to peacekeeping operations (</w:t>
      </w:r>
      <w:hyperlink r:id="rId36" w:history="1">
        <w:r w:rsidRPr="00B9254C">
          <w:rPr>
            <w:rStyle w:val="Hyperlink"/>
            <w:lang w:val="en-GB"/>
          </w:rPr>
          <w:t>A/80/604</w:t>
        </w:r>
      </w:hyperlink>
      <w:r w:rsidRPr="00B9254C">
        <w:rPr>
          <w:lang w:val="en-GB"/>
        </w:rPr>
        <w:t xml:space="preserve">). </w:t>
      </w:r>
    </w:p>
    <w:p w14:paraId="66B35D42" w14:textId="77777777" w:rsidR="00D87DC9" w:rsidRPr="00B9254C" w:rsidRDefault="00D87DC9" w:rsidP="00697ECA">
      <w:pPr>
        <w:pStyle w:val="SingleTxt"/>
        <w:spacing w:after="0" w:line="120" w:lineRule="exact"/>
        <w:rPr>
          <w:sz w:val="10"/>
          <w:lang w:val="en-GB"/>
        </w:rPr>
      </w:pPr>
    </w:p>
    <w:p w14:paraId="0A0DA0E5" w14:textId="34215A96"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Continuation of general temporary assistance positions</w:t>
      </w:r>
    </w:p>
    <w:p w14:paraId="47E22498" w14:textId="77777777" w:rsidR="00D87DC9" w:rsidRPr="00B9254C" w:rsidRDefault="00D87DC9" w:rsidP="00697ECA">
      <w:pPr>
        <w:pStyle w:val="SingleTxt"/>
        <w:spacing w:after="0" w:line="120" w:lineRule="exact"/>
        <w:rPr>
          <w:sz w:val="10"/>
          <w:lang w:val="en-GB"/>
        </w:rPr>
      </w:pPr>
    </w:p>
    <w:p w14:paraId="49A2A5EC" w14:textId="663583FE" w:rsidR="00D87DC9" w:rsidRPr="00B9254C" w:rsidRDefault="00D87DC9" w:rsidP="00D87DC9">
      <w:pPr>
        <w:pStyle w:val="SingleTxt"/>
        <w:rPr>
          <w:lang w:val="en-GB"/>
        </w:rPr>
      </w:pPr>
      <w:r w:rsidRPr="00B9254C">
        <w:rPr>
          <w:lang w:val="en-GB"/>
        </w:rPr>
        <w:t>32.</w:t>
      </w:r>
      <w:r w:rsidRPr="00B9254C">
        <w:rPr>
          <w:lang w:val="en-GB"/>
        </w:rPr>
        <w:tab/>
        <w:t>It is proposed to continue 11 general temporary assistance positions (</w:t>
      </w:r>
      <w:hyperlink r:id="rId37" w:history="1">
        <w:r w:rsidRPr="00B9254C">
          <w:rPr>
            <w:rStyle w:val="Hyperlink"/>
            <w:lang w:val="en-GB"/>
          </w:rPr>
          <w:t>A/80/623</w:t>
        </w:r>
      </w:hyperlink>
      <w:r w:rsidRPr="00B9254C">
        <w:rPr>
          <w:lang w:val="en-GB"/>
        </w:rPr>
        <w:t>, paras. 60</w:t>
      </w:r>
      <w:r w:rsidR="003046F9" w:rsidRPr="00B9254C">
        <w:rPr>
          <w:lang w:val="en-GB"/>
        </w:rPr>
        <w:t>–</w:t>
      </w:r>
      <w:r w:rsidRPr="00B9254C">
        <w:rPr>
          <w:lang w:val="en-GB"/>
        </w:rPr>
        <w:t>61):</w:t>
      </w:r>
    </w:p>
    <w:p w14:paraId="23E23ABD" w14:textId="6101AC46" w:rsidR="00D87DC9" w:rsidRPr="00B9254C" w:rsidRDefault="003046F9" w:rsidP="00D87DC9">
      <w:pPr>
        <w:pStyle w:val="SingleTxt"/>
        <w:rPr>
          <w:spacing w:val="2"/>
          <w:w w:val="102"/>
          <w:lang w:val="en-GB"/>
        </w:rPr>
      </w:pPr>
      <w:r w:rsidRPr="00B9254C">
        <w:rPr>
          <w:spacing w:val="2"/>
          <w:w w:val="102"/>
          <w:lang w:val="en-GB"/>
        </w:rPr>
        <w:tab/>
      </w:r>
      <w:r w:rsidR="00D87DC9" w:rsidRPr="00B9254C">
        <w:rPr>
          <w:spacing w:val="2"/>
          <w:w w:val="102"/>
          <w:lang w:val="en-GB"/>
        </w:rPr>
        <w:t>(a)</w:t>
      </w:r>
      <w:r w:rsidR="00D87DC9" w:rsidRPr="00B9254C">
        <w:rPr>
          <w:spacing w:val="2"/>
          <w:w w:val="102"/>
          <w:lang w:val="en-GB"/>
        </w:rPr>
        <w:tab/>
        <w:t>One position of Programme Management Officer (P-4), established on 1</w:t>
      </w:r>
      <w:r w:rsidRPr="00B9254C">
        <w:rPr>
          <w:spacing w:val="2"/>
          <w:w w:val="102"/>
          <w:lang w:val="en-GB"/>
        </w:rPr>
        <w:t> </w:t>
      </w:r>
      <w:r w:rsidR="00D87DC9" w:rsidRPr="00B9254C">
        <w:rPr>
          <w:spacing w:val="2"/>
          <w:w w:val="102"/>
          <w:lang w:val="en-GB"/>
        </w:rPr>
        <w:t xml:space="preserve">July 2022 in the Office of the Deputy Special Representative of the Secretary-General (Protection-Operations), to direct the implementation of the mine action programme; </w:t>
      </w:r>
    </w:p>
    <w:p w14:paraId="0B7C1848" w14:textId="551AD67E" w:rsidR="00D87DC9" w:rsidRPr="00B9254C" w:rsidRDefault="003046F9" w:rsidP="00D87DC9">
      <w:pPr>
        <w:pStyle w:val="SingleTxt"/>
        <w:rPr>
          <w:lang w:val="en-GB"/>
        </w:rPr>
      </w:pPr>
      <w:r w:rsidRPr="00B9254C">
        <w:rPr>
          <w:lang w:val="en-GB"/>
        </w:rPr>
        <w:tab/>
      </w:r>
      <w:r w:rsidR="00D87DC9" w:rsidRPr="00B9254C">
        <w:rPr>
          <w:lang w:val="en-GB"/>
        </w:rPr>
        <w:t>(b)</w:t>
      </w:r>
      <w:r w:rsidR="00D87DC9" w:rsidRPr="00B9254C">
        <w:rPr>
          <w:lang w:val="en-GB"/>
        </w:rPr>
        <w:tab/>
        <w:t>Ten general temporary assistance positions of Air Operations Assistant (national General Service) to operate the specialized firefighting vehicles.</w:t>
      </w:r>
    </w:p>
    <w:p w14:paraId="32BC36AF" w14:textId="77777777" w:rsidR="00D87DC9" w:rsidRPr="00B9254C" w:rsidRDefault="00D87DC9" w:rsidP="00697ECA">
      <w:pPr>
        <w:pStyle w:val="SingleTxt"/>
        <w:spacing w:after="0" w:line="120" w:lineRule="exact"/>
        <w:rPr>
          <w:sz w:val="10"/>
          <w:lang w:val="en-GB"/>
        </w:rPr>
      </w:pPr>
    </w:p>
    <w:p w14:paraId="798A97B6" w14:textId="48C3B87A"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Government-provided personnel</w:t>
      </w:r>
    </w:p>
    <w:p w14:paraId="54EB0D8A" w14:textId="77777777" w:rsidR="00D87DC9" w:rsidRPr="00B9254C" w:rsidRDefault="00D87DC9" w:rsidP="00697ECA">
      <w:pPr>
        <w:pStyle w:val="SingleTxt"/>
        <w:spacing w:after="0" w:line="120" w:lineRule="exact"/>
        <w:rPr>
          <w:sz w:val="10"/>
          <w:lang w:val="en-GB"/>
        </w:rPr>
      </w:pPr>
    </w:p>
    <w:p w14:paraId="58733AAD" w14:textId="77777777" w:rsidR="00D87DC9" w:rsidRPr="00B9254C" w:rsidRDefault="00D87DC9" w:rsidP="00D87DC9">
      <w:pPr>
        <w:pStyle w:val="SingleTxt"/>
        <w:rPr>
          <w:lang w:val="en-GB"/>
        </w:rPr>
      </w:pPr>
      <w:r w:rsidRPr="00B9254C">
        <w:rPr>
          <w:lang w:val="en-GB"/>
        </w:rPr>
        <w:t>33.</w:t>
      </w:r>
      <w:r w:rsidRPr="00B9254C">
        <w:rPr>
          <w:lang w:val="en-GB"/>
        </w:rPr>
        <w:tab/>
        <w:t xml:space="preserve">While the proposed number of government-provided personnel would remain unchanged at 108 such personnel for 2026/27, a vacancy rate of 63.0 per cent is proposed, compared with 0.9 per cent in 2025/26. The proposed reduction in the deployment of government-provided personnel forms part of the broader reconfiguration and consolidation phase of MINUSCA in the context of the UN80 Initiative. Upon enquiry, the Advisory Committee was informed that the functions previously performed and that are no longer required primarily relate to direct operational support and mentoring roles that are being progressively transferred to national authorities to ensure sustainable ownership of key responsibilities. For example, government-provided personnel deployed in correctional facilities had provided operational guidance and capacity-building support to strengthen the ability of national prison staff to manage facilities independently. </w:t>
      </w:r>
      <w:r w:rsidRPr="00B9254C">
        <w:rPr>
          <w:b/>
          <w:bCs/>
          <w:lang w:val="en-GB"/>
        </w:rPr>
        <w:t>The Advisory Committee notes the role of government-provided personnel in a direct operational and mentoring function to support national authorities and trusts that further clarification will be provided to the General Assembly at the time of its consideration of the present report on the impact of the increased vacancy factor and the related direct support provided by the Mission to national authorities.</w:t>
      </w:r>
    </w:p>
    <w:p w14:paraId="579EECFE" w14:textId="77777777" w:rsidR="00D87DC9" w:rsidRPr="00B9254C" w:rsidRDefault="00D87DC9" w:rsidP="00697ECA">
      <w:pPr>
        <w:pStyle w:val="SingleTxt"/>
        <w:spacing w:after="0" w:line="120" w:lineRule="exact"/>
        <w:rPr>
          <w:sz w:val="10"/>
          <w:lang w:val="en-GB"/>
        </w:rPr>
      </w:pPr>
    </w:p>
    <w:p w14:paraId="06F6A691" w14:textId="2B481E09"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Change of organizational unit titles</w:t>
      </w:r>
    </w:p>
    <w:p w14:paraId="3F60B76E" w14:textId="77777777" w:rsidR="00D87DC9" w:rsidRPr="00B9254C" w:rsidRDefault="00D87DC9" w:rsidP="00697ECA">
      <w:pPr>
        <w:pStyle w:val="SingleTxt"/>
        <w:spacing w:after="0" w:line="120" w:lineRule="exact"/>
        <w:rPr>
          <w:sz w:val="10"/>
          <w:lang w:val="en-GB"/>
        </w:rPr>
      </w:pPr>
    </w:p>
    <w:p w14:paraId="04760363" w14:textId="0D21B117" w:rsidR="00D87DC9" w:rsidRPr="00B9254C" w:rsidRDefault="00D87DC9" w:rsidP="003046F9">
      <w:pPr>
        <w:pStyle w:val="SingleTxt"/>
        <w:rPr>
          <w:lang w:val="en-GB"/>
        </w:rPr>
      </w:pPr>
      <w:r w:rsidRPr="00B9254C">
        <w:rPr>
          <w:lang w:val="en-GB"/>
        </w:rPr>
        <w:t>34.</w:t>
      </w:r>
      <w:r w:rsidRPr="00B9254C">
        <w:rPr>
          <w:lang w:val="en-GB"/>
        </w:rPr>
        <w:tab/>
        <w:t>Two changes of organizational unit titles are proposed (ibid., paras. 62–63):</w:t>
      </w:r>
    </w:p>
    <w:p w14:paraId="68D25B08" w14:textId="60937E38" w:rsidR="00D87DC9" w:rsidRPr="00B9254C" w:rsidRDefault="003046F9" w:rsidP="003046F9">
      <w:pPr>
        <w:pStyle w:val="SingleTxt"/>
        <w:rPr>
          <w:lang w:val="en-GB"/>
        </w:rPr>
      </w:pPr>
      <w:r w:rsidRPr="00B9254C">
        <w:rPr>
          <w:lang w:val="en-GB"/>
        </w:rPr>
        <w:tab/>
      </w:r>
      <w:r w:rsidR="00D87DC9" w:rsidRPr="00B9254C">
        <w:rPr>
          <w:lang w:val="en-GB"/>
        </w:rPr>
        <w:t>(a)</w:t>
      </w:r>
      <w:r w:rsidR="00D87DC9" w:rsidRPr="00B9254C">
        <w:rPr>
          <w:lang w:val="en-GB"/>
        </w:rPr>
        <w:tab/>
        <w:t xml:space="preserve">From the Office of the Deputy Special Representative of the Secretary-General (Political) to the Office of the Deputy Special Representative of the Secretary-General (Protection-Operations), in order to align more closely with priorities and operational realities and to underscore the centrality of protection-related responsibilities within the mandate; </w:t>
      </w:r>
    </w:p>
    <w:p w14:paraId="68FB25C9" w14:textId="155E1365" w:rsidR="00D87DC9" w:rsidRPr="00B9254C" w:rsidRDefault="003046F9" w:rsidP="00D87DC9">
      <w:pPr>
        <w:pStyle w:val="SingleTxt"/>
        <w:rPr>
          <w:lang w:val="en-GB"/>
        </w:rPr>
      </w:pPr>
      <w:r w:rsidRPr="00B9254C">
        <w:rPr>
          <w:lang w:val="en-GB"/>
        </w:rPr>
        <w:tab/>
      </w:r>
      <w:r w:rsidR="00D87DC9" w:rsidRPr="00B9254C">
        <w:rPr>
          <w:lang w:val="en-GB"/>
        </w:rPr>
        <w:t>(b)</w:t>
      </w:r>
      <w:r w:rsidR="00D87DC9" w:rsidRPr="00B9254C">
        <w:rPr>
          <w:lang w:val="en-GB"/>
        </w:rPr>
        <w:tab/>
        <w:t>From the Strategic Planning Unit to the Mission Planning Unit, in order to better reflect contemporary United Nations policy and planning practices and evolving operational realities.</w:t>
      </w:r>
    </w:p>
    <w:p w14:paraId="05E56EBC" w14:textId="77777777" w:rsidR="00D87DC9" w:rsidRPr="00B9254C" w:rsidRDefault="00D87DC9" w:rsidP="00697ECA">
      <w:pPr>
        <w:pStyle w:val="SingleTxt"/>
        <w:spacing w:after="0" w:line="120" w:lineRule="exact"/>
        <w:rPr>
          <w:sz w:val="10"/>
          <w:lang w:val="en-GB"/>
        </w:rPr>
      </w:pPr>
    </w:p>
    <w:p w14:paraId="4DD5C630" w14:textId="4177C307"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Vacant posts</w:t>
      </w:r>
    </w:p>
    <w:p w14:paraId="1D20F981" w14:textId="77777777" w:rsidR="00D87DC9" w:rsidRPr="00B9254C" w:rsidRDefault="00D87DC9" w:rsidP="00697ECA">
      <w:pPr>
        <w:pStyle w:val="SingleTxt"/>
        <w:spacing w:after="0" w:line="120" w:lineRule="exact"/>
        <w:rPr>
          <w:sz w:val="10"/>
          <w:lang w:val="en-GB"/>
        </w:rPr>
      </w:pPr>
    </w:p>
    <w:p w14:paraId="368DEE4B" w14:textId="0F7088E0" w:rsidR="00D87DC9" w:rsidRPr="00B9254C" w:rsidRDefault="00D87DC9" w:rsidP="003046F9">
      <w:pPr>
        <w:pStyle w:val="SingleTxt"/>
        <w:rPr>
          <w:lang w:val="en-GB"/>
        </w:rPr>
      </w:pPr>
      <w:r w:rsidRPr="00B9254C">
        <w:rPr>
          <w:lang w:val="en-GB"/>
        </w:rPr>
        <w:t>35.</w:t>
      </w:r>
      <w:r w:rsidRPr="00B9254C">
        <w:rPr>
          <w:lang w:val="en-GB"/>
        </w:rPr>
        <w:tab/>
        <w:t xml:space="preserve">Upon enquiry, the Advisory Committee was informed that, as at 28 February 2026, there were 290 vacant posts (1 D-2, 4 D-1, 14 P-5 (6 proposed for abolishment), 28 P-4 (17 proposed for abolishment), 30 P-3 (20 proposed for abolishment), 2 P-2, </w:t>
      </w:r>
      <w:r w:rsidRPr="00B9254C">
        <w:rPr>
          <w:spacing w:val="2"/>
          <w:lang w:val="en-GB"/>
        </w:rPr>
        <w:t>59 Field Service (26 proposed for abolishment), 67 national General Service, 9</w:t>
      </w:r>
      <w:r w:rsidR="00260755" w:rsidRPr="00B9254C">
        <w:rPr>
          <w:spacing w:val="2"/>
          <w:lang w:val="en-GB"/>
        </w:rPr>
        <w:t xml:space="preserve"> </w:t>
      </w:r>
      <w:r w:rsidRPr="00B9254C">
        <w:rPr>
          <w:spacing w:val="2"/>
          <w:lang w:val="en-GB"/>
        </w:rPr>
        <w:t>National</w:t>
      </w:r>
      <w:r w:rsidRPr="00B9254C">
        <w:rPr>
          <w:lang w:val="en-GB"/>
        </w:rPr>
        <w:t xml:space="preserve"> Professional Officer, 67 international United Nations Volunteer (17 proposed for abolishment) and 9 national United Nations Volunteer), including posts (1 P-5, 2 P-4 (1 proposed for abolishment), 4 P-3 (3 proposed for abolishment), 1</w:t>
      </w:r>
      <w:r w:rsidR="00260755" w:rsidRPr="00B9254C">
        <w:rPr>
          <w:lang w:val="en-GB"/>
        </w:rPr>
        <w:t xml:space="preserve"> </w:t>
      </w:r>
      <w:r w:rsidRPr="00B9254C">
        <w:rPr>
          <w:lang w:val="en-GB"/>
        </w:rPr>
        <w:t xml:space="preserve">Field Service and 8 national General Service) that had been vacant for more than 24 months. </w:t>
      </w:r>
      <w:r w:rsidRPr="00B9254C">
        <w:rPr>
          <w:b/>
          <w:bCs/>
          <w:lang w:val="en-GB"/>
        </w:rPr>
        <w:t>The Advisory Committee trusts that an update on the number of vacant posts and their recruitment status will be provided to the General Assembly at the time of its consideration of the present report and in the next budget submission.</w:t>
      </w:r>
      <w:r w:rsidRPr="00B9254C">
        <w:rPr>
          <w:lang w:val="en-GB"/>
        </w:rPr>
        <w:t xml:space="preserve"> </w:t>
      </w:r>
      <w:r w:rsidRPr="00B9254C">
        <w:rPr>
          <w:b/>
          <w:bCs/>
          <w:lang w:val="en-GB"/>
        </w:rPr>
        <w:t>The Committee trusts that remaining long-vacant posts continue to be critically reviewed in the context of the next budget submission.</w:t>
      </w:r>
      <w:r w:rsidRPr="00B9254C">
        <w:rPr>
          <w:lang w:val="en-GB"/>
        </w:rPr>
        <w:t xml:space="preserve"> The Committee discusses vacant and long-vacant posts in its report on cross-cutting issues related to peacekeeping operations (</w:t>
      </w:r>
      <w:hyperlink r:id="rId38" w:history="1">
        <w:r w:rsidRPr="00B9254C">
          <w:rPr>
            <w:rStyle w:val="Hyperlink"/>
            <w:lang w:val="en-GB"/>
          </w:rPr>
          <w:t>A/80/604</w:t>
        </w:r>
      </w:hyperlink>
      <w:r w:rsidRPr="00B9254C">
        <w:rPr>
          <w:lang w:val="en-GB"/>
        </w:rPr>
        <w:t>).</w:t>
      </w:r>
    </w:p>
    <w:p w14:paraId="7DFB8297" w14:textId="77777777" w:rsidR="00D87DC9" w:rsidRPr="00B9254C" w:rsidRDefault="00D87DC9" w:rsidP="00D87DC9">
      <w:pPr>
        <w:pStyle w:val="SingleTxt"/>
        <w:rPr>
          <w:lang w:val="en-GB"/>
        </w:rPr>
      </w:pPr>
      <w:r w:rsidRPr="00B9254C">
        <w:rPr>
          <w:lang w:val="en-GB"/>
        </w:rPr>
        <w:t>36.</w:t>
      </w:r>
      <w:r w:rsidRPr="00B9254C">
        <w:rPr>
          <w:lang w:val="en-GB"/>
        </w:rPr>
        <w:tab/>
        <w:t xml:space="preserve">The Advisory Committee was also informed that, as at 31 January 2026, 39 voluntary early separation requests of MINUSCA staff had been approved, with actual separation dates through April 2026. </w:t>
      </w:r>
      <w:r w:rsidRPr="00B9254C">
        <w:rPr>
          <w:b/>
          <w:bCs/>
          <w:lang w:val="en-GB"/>
        </w:rPr>
        <w:t>The Advisory Committee trusts that detailed and updated information on staff approved for the early separation programme, as well as on the related costs, will be provided to the General Assembly at the time of its consideration of the present report and in the next budget submission.</w:t>
      </w:r>
    </w:p>
    <w:p w14:paraId="053C4A25" w14:textId="77777777" w:rsidR="00697ECA" w:rsidRPr="00B9254C" w:rsidRDefault="00697ECA" w:rsidP="00697ECA">
      <w:pPr>
        <w:pStyle w:val="SingleTxt"/>
        <w:spacing w:after="0" w:line="120" w:lineRule="exact"/>
        <w:rPr>
          <w:sz w:val="10"/>
          <w:lang w:val="en-GB"/>
        </w:rPr>
      </w:pPr>
    </w:p>
    <w:p w14:paraId="34CDE8C5" w14:textId="7819EA47"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Vacancy rates</w:t>
      </w:r>
    </w:p>
    <w:p w14:paraId="5A67A89A" w14:textId="77777777" w:rsidR="00D87DC9" w:rsidRPr="00B9254C" w:rsidRDefault="00D87DC9" w:rsidP="00697ECA">
      <w:pPr>
        <w:pStyle w:val="SingleTxt"/>
        <w:spacing w:after="0" w:line="120" w:lineRule="exact"/>
        <w:rPr>
          <w:sz w:val="10"/>
          <w:lang w:val="en-GB"/>
        </w:rPr>
      </w:pPr>
    </w:p>
    <w:p w14:paraId="55BC1062" w14:textId="77777777" w:rsidR="00D87DC9" w:rsidRPr="00B9254C" w:rsidRDefault="00D87DC9"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9254C">
        <w:rPr>
          <w:b w:val="0"/>
          <w:bCs/>
          <w:lang w:val="en-GB"/>
        </w:rPr>
        <w:t>Table 2</w:t>
      </w:r>
    </w:p>
    <w:p w14:paraId="2ACD63C8" w14:textId="72799672" w:rsidR="00D87DC9" w:rsidRPr="00B9254C" w:rsidRDefault="00D87DC9" w:rsidP="00697E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Vacancy rates</w:t>
      </w:r>
    </w:p>
    <w:p w14:paraId="6E5C4881" w14:textId="77777777" w:rsidR="00D87DC9" w:rsidRPr="00B9254C" w:rsidRDefault="00D87DC9" w:rsidP="00697ECA">
      <w:pPr>
        <w:pStyle w:val="SingleTxt"/>
        <w:spacing w:after="0"/>
        <w:ind w:left="0"/>
        <w:rPr>
          <w:sz w:val="14"/>
          <w:szCs w:val="14"/>
          <w:lang w:val="en-GB"/>
        </w:rPr>
      </w:pPr>
      <w:r w:rsidRPr="00B9254C">
        <w:rPr>
          <w:sz w:val="14"/>
          <w:szCs w:val="14"/>
          <w:lang w:val="en-GB"/>
        </w:rPr>
        <w:t>(Percentage)</w:t>
      </w:r>
    </w:p>
    <w:p w14:paraId="65567EC9" w14:textId="77777777" w:rsidR="00D87DC9" w:rsidRPr="00B9254C" w:rsidRDefault="00D87DC9" w:rsidP="00697ECA">
      <w:pPr>
        <w:pStyle w:val="SingleTxt"/>
        <w:spacing w:after="0" w:line="120" w:lineRule="exact"/>
        <w:rPr>
          <w:sz w:val="10"/>
          <w:lang w:val="en-GB"/>
        </w:rPr>
      </w:pPr>
    </w:p>
    <w:p w14:paraId="771517CE" w14:textId="77777777" w:rsidR="00697ECA" w:rsidRPr="00B9254C" w:rsidRDefault="00697ECA" w:rsidP="00697ECA">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17"/>
        <w:gridCol w:w="735"/>
        <w:gridCol w:w="735"/>
        <w:gridCol w:w="735"/>
        <w:gridCol w:w="954"/>
        <w:gridCol w:w="1125"/>
        <w:gridCol w:w="909"/>
        <w:gridCol w:w="1116"/>
        <w:gridCol w:w="720"/>
      </w:tblGrid>
      <w:tr w:rsidR="00697ECA" w:rsidRPr="00B9254C" w14:paraId="0BD44780" w14:textId="77777777" w:rsidTr="00697ECA">
        <w:trPr>
          <w:tblHeader/>
        </w:trPr>
        <w:tc>
          <w:tcPr>
            <w:tcW w:w="2817" w:type="dxa"/>
            <w:tcBorders>
              <w:top w:val="single" w:sz="4" w:space="0" w:color="auto"/>
              <w:bottom w:val="single" w:sz="12" w:space="0" w:color="auto"/>
            </w:tcBorders>
            <w:vAlign w:val="bottom"/>
          </w:tcPr>
          <w:p w14:paraId="45862D8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9254C">
              <w:rPr>
                <w:i/>
                <w:sz w:val="14"/>
                <w:lang w:val="en-GB"/>
              </w:rPr>
              <w:t>Category</w:t>
            </w:r>
          </w:p>
        </w:tc>
        <w:tc>
          <w:tcPr>
            <w:tcW w:w="735" w:type="dxa"/>
            <w:tcBorders>
              <w:top w:val="single" w:sz="4" w:space="0" w:color="auto"/>
              <w:bottom w:val="single" w:sz="12" w:space="0" w:color="auto"/>
            </w:tcBorders>
            <w:vAlign w:val="bottom"/>
          </w:tcPr>
          <w:p w14:paraId="478C54F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Budgeted 2024/25</w:t>
            </w:r>
          </w:p>
        </w:tc>
        <w:tc>
          <w:tcPr>
            <w:tcW w:w="735" w:type="dxa"/>
            <w:tcBorders>
              <w:top w:val="single" w:sz="4" w:space="0" w:color="auto"/>
              <w:bottom w:val="single" w:sz="12" w:space="0" w:color="auto"/>
            </w:tcBorders>
            <w:vAlign w:val="bottom"/>
          </w:tcPr>
          <w:p w14:paraId="6DA4CD9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Actual 2024/25</w:t>
            </w:r>
          </w:p>
        </w:tc>
        <w:tc>
          <w:tcPr>
            <w:tcW w:w="735" w:type="dxa"/>
            <w:tcBorders>
              <w:top w:val="single" w:sz="4" w:space="0" w:color="auto"/>
              <w:bottom w:val="single" w:sz="12" w:space="0" w:color="auto"/>
            </w:tcBorders>
            <w:vAlign w:val="bottom"/>
          </w:tcPr>
          <w:p w14:paraId="6670F53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Budgeted 2025/26</w:t>
            </w:r>
          </w:p>
        </w:tc>
        <w:tc>
          <w:tcPr>
            <w:tcW w:w="954" w:type="dxa"/>
            <w:tcBorders>
              <w:top w:val="single" w:sz="4" w:space="0" w:color="auto"/>
              <w:bottom w:val="single" w:sz="12" w:space="0" w:color="auto"/>
            </w:tcBorders>
            <w:vAlign w:val="bottom"/>
          </w:tcPr>
          <w:p w14:paraId="167C68D9" w14:textId="2AE3F82A"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Actual as at 31 December 2025</w:t>
            </w:r>
          </w:p>
        </w:tc>
        <w:tc>
          <w:tcPr>
            <w:tcW w:w="1125" w:type="dxa"/>
            <w:tcBorders>
              <w:top w:val="single" w:sz="4" w:space="0" w:color="auto"/>
              <w:bottom w:val="single" w:sz="12" w:space="0" w:color="auto"/>
            </w:tcBorders>
            <w:vAlign w:val="bottom"/>
          </w:tcPr>
          <w:p w14:paraId="3DCEF7D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Actual average, January–December 2025</w:t>
            </w:r>
          </w:p>
        </w:tc>
        <w:tc>
          <w:tcPr>
            <w:tcW w:w="909" w:type="dxa"/>
            <w:tcBorders>
              <w:top w:val="single" w:sz="4" w:space="0" w:color="auto"/>
              <w:bottom w:val="single" w:sz="12" w:space="0" w:color="auto"/>
            </w:tcBorders>
            <w:vAlign w:val="bottom"/>
          </w:tcPr>
          <w:p w14:paraId="4806D6FC" w14:textId="4E683B84"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Actual as at 28 February 2026</w:t>
            </w:r>
          </w:p>
        </w:tc>
        <w:tc>
          <w:tcPr>
            <w:tcW w:w="1116" w:type="dxa"/>
            <w:tcBorders>
              <w:top w:val="single" w:sz="4" w:space="0" w:color="auto"/>
              <w:bottom w:val="single" w:sz="12" w:space="0" w:color="auto"/>
            </w:tcBorders>
            <w:vAlign w:val="bottom"/>
          </w:tcPr>
          <w:p w14:paraId="4972604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Actual average July 2025–February 2026</w:t>
            </w:r>
          </w:p>
        </w:tc>
        <w:tc>
          <w:tcPr>
            <w:tcW w:w="720" w:type="dxa"/>
            <w:tcBorders>
              <w:top w:val="single" w:sz="4" w:space="0" w:color="auto"/>
              <w:bottom w:val="single" w:sz="12" w:space="0" w:color="auto"/>
            </w:tcBorders>
            <w:vAlign w:val="bottom"/>
          </w:tcPr>
          <w:p w14:paraId="43E38E3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Proposed 2026/27</w:t>
            </w:r>
          </w:p>
        </w:tc>
      </w:tr>
      <w:tr w:rsidR="00697ECA" w:rsidRPr="00B9254C" w14:paraId="096AB0D8" w14:textId="77777777" w:rsidTr="00697ECA">
        <w:trPr>
          <w:trHeight w:hRule="exact" w:val="115"/>
          <w:tblHeader/>
        </w:trPr>
        <w:tc>
          <w:tcPr>
            <w:tcW w:w="2817" w:type="dxa"/>
            <w:tcBorders>
              <w:top w:val="single" w:sz="12" w:space="0" w:color="auto"/>
            </w:tcBorders>
            <w:vAlign w:val="bottom"/>
          </w:tcPr>
          <w:p w14:paraId="69F14DA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735" w:type="dxa"/>
            <w:tcBorders>
              <w:top w:val="single" w:sz="12" w:space="0" w:color="auto"/>
            </w:tcBorders>
            <w:vAlign w:val="bottom"/>
          </w:tcPr>
          <w:p w14:paraId="693C493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35" w:type="dxa"/>
            <w:tcBorders>
              <w:top w:val="single" w:sz="12" w:space="0" w:color="auto"/>
            </w:tcBorders>
            <w:vAlign w:val="bottom"/>
          </w:tcPr>
          <w:p w14:paraId="48D0DAF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35" w:type="dxa"/>
            <w:tcBorders>
              <w:top w:val="single" w:sz="12" w:space="0" w:color="auto"/>
            </w:tcBorders>
            <w:vAlign w:val="bottom"/>
          </w:tcPr>
          <w:p w14:paraId="0F6DA48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54" w:type="dxa"/>
            <w:tcBorders>
              <w:top w:val="single" w:sz="12" w:space="0" w:color="auto"/>
            </w:tcBorders>
            <w:vAlign w:val="bottom"/>
          </w:tcPr>
          <w:p w14:paraId="7C4DA49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125" w:type="dxa"/>
            <w:tcBorders>
              <w:top w:val="single" w:sz="12" w:space="0" w:color="auto"/>
            </w:tcBorders>
            <w:vAlign w:val="bottom"/>
          </w:tcPr>
          <w:p w14:paraId="49B0DF2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09" w:type="dxa"/>
            <w:tcBorders>
              <w:top w:val="single" w:sz="12" w:space="0" w:color="auto"/>
            </w:tcBorders>
            <w:vAlign w:val="bottom"/>
          </w:tcPr>
          <w:p w14:paraId="216D6CA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116" w:type="dxa"/>
            <w:tcBorders>
              <w:top w:val="single" w:sz="12" w:space="0" w:color="auto"/>
            </w:tcBorders>
            <w:vAlign w:val="bottom"/>
          </w:tcPr>
          <w:p w14:paraId="7DED1C5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20" w:type="dxa"/>
            <w:tcBorders>
              <w:top w:val="single" w:sz="12" w:space="0" w:color="auto"/>
            </w:tcBorders>
            <w:vAlign w:val="bottom"/>
          </w:tcPr>
          <w:p w14:paraId="0C64931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97ECA" w:rsidRPr="00B9254C" w14:paraId="18528962" w14:textId="77777777" w:rsidTr="00697ECA">
        <w:tc>
          <w:tcPr>
            <w:tcW w:w="2817" w:type="dxa"/>
            <w:vAlign w:val="bottom"/>
          </w:tcPr>
          <w:p w14:paraId="69C7B9B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B9254C">
              <w:rPr>
                <w:b/>
                <w:bCs/>
                <w:sz w:val="17"/>
                <w:lang w:val="en-GB"/>
              </w:rPr>
              <w:t>Civilian personnel</w:t>
            </w:r>
          </w:p>
        </w:tc>
        <w:tc>
          <w:tcPr>
            <w:tcW w:w="735" w:type="dxa"/>
            <w:vAlign w:val="bottom"/>
          </w:tcPr>
          <w:p w14:paraId="2E2C6E8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7998409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60F22EF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54" w:type="dxa"/>
            <w:vAlign w:val="bottom"/>
          </w:tcPr>
          <w:p w14:paraId="460021A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25" w:type="dxa"/>
            <w:vAlign w:val="bottom"/>
          </w:tcPr>
          <w:p w14:paraId="0E18DE4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9" w:type="dxa"/>
            <w:vAlign w:val="bottom"/>
          </w:tcPr>
          <w:p w14:paraId="6B147AB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16" w:type="dxa"/>
            <w:vAlign w:val="bottom"/>
          </w:tcPr>
          <w:p w14:paraId="0BB3F94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20" w:type="dxa"/>
            <w:vAlign w:val="bottom"/>
          </w:tcPr>
          <w:p w14:paraId="126DC60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5A10DE2E" w14:textId="77777777" w:rsidTr="00697ECA">
        <w:tc>
          <w:tcPr>
            <w:tcW w:w="2817" w:type="dxa"/>
            <w:vAlign w:val="bottom"/>
          </w:tcPr>
          <w:p w14:paraId="316D26B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International staff</w:t>
            </w:r>
          </w:p>
        </w:tc>
        <w:tc>
          <w:tcPr>
            <w:tcW w:w="735" w:type="dxa"/>
            <w:vAlign w:val="bottom"/>
          </w:tcPr>
          <w:p w14:paraId="43739B4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12.5</w:t>
            </w:r>
          </w:p>
        </w:tc>
        <w:tc>
          <w:tcPr>
            <w:tcW w:w="735" w:type="dxa"/>
            <w:vAlign w:val="bottom"/>
          </w:tcPr>
          <w:p w14:paraId="4518568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8.7</w:t>
            </w:r>
          </w:p>
        </w:tc>
        <w:tc>
          <w:tcPr>
            <w:tcW w:w="735" w:type="dxa"/>
            <w:vAlign w:val="bottom"/>
          </w:tcPr>
          <w:p w14:paraId="51BD005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8.9</w:t>
            </w:r>
          </w:p>
        </w:tc>
        <w:tc>
          <w:tcPr>
            <w:tcW w:w="954" w:type="dxa"/>
            <w:vAlign w:val="bottom"/>
          </w:tcPr>
          <w:p w14:paraId="5AC2EE6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13.6</w:t>
            </w:r>
          </w:p>
        </w:tc>
        <w:tc>
          <w:tcPr>
            <w:tcW w:w="1125" w:type="dxa"/>
            <w:vAlign w:val="bottom"/>
          </w:tcPr>
          <w:p w14:paraId="03400B3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10.1</w:t>
            </w:r>
          </w:p>
        </w:tc>
        <w:tc>
          <w:tcPr>
            <w:tcW w:w="909" w:type="dxa"/>
            <w:vAlign w:val="bottom"/>
          </w:tcPr>
          <w:p w14:paraId="4AFAAF6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18.0</w:t>
            </w:r>
          </w:p>
        </w:tc>
        <w:tc>
          <w:tcPr>
            <w:tcW w:w="1116" w:type="dxa"/>
            <w:vAlign w:val="bottom"/>
          </w:tcPr>
          <w:p w14:paraId="0E287A7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12.8</w:t>
            </w:r>
          </w:p>
        </w:tc>
        <w:tc>
          <w:tcPr>
            <w:tcW w:w="720" w:type="dxa"/>
            <w:vAlign w:val="bottom"/>
          </w:tcPr>
          <w:p w14:paraId="41EDC7A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4.0</w:t>
            </w:r>
          </w:p>
        </w:tc>
      </w:tr>
      <w:tr w:rsidR="00697ECA" w:rsidRPr="00B9254C" w14:paraId="562BBAD1" w14:textId="77777777" w:rsidTr="00697ECA">
        <w:tc>
          <w:tcPr>
            <w:tcW w:w="2817" w:type="dxa"/>
            <w:vAlign w:val="bottom"/>
          </w:tcPr>
          <w:p w14:paraId="5428715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National staff</w:t>
            </w:r>
          </w:p>
        </w:tc>
        <w:tc>
          <w:tcPr>
            <w:tcW w:w="735" w:type="dxa"/>
            <w:vAlign w:val="bottom"/>
          </w:tcPr>
          <w:p w14:paraId="2E91D0C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2B0353E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39B5ED0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54" w:type="dxa"/>
            <w:vAlign w:val="bottom"/>
          </w:tcPr>
          <w:p w14:paraId="1352FCE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25" w:type="dxa"/>
            <w:vAlign w:val="bottom"/>
          </w:tcPr>
          <w:p w14:paraId="71BD488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9" w:type="dxa"/>
            <w:vAlign w:val="bottom"/>
          </w:tcPr>
          <w:p w14:paraId="0594C46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16" w:type="dxa"/>
            <w:vAlign w:val="bottom"/>
          </w:tcPr>
          <w:p w14:paraId="374071D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20" w:type="dxa"/>
            <w:vAlign w:val="bottom"/>
          </w:tcPr>
          <w:p w14:paraId="3E5B788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592664AC" w14:textId="77777777" w:rsidTr="00697ECA">
        <w:tc>
          <w:tcPr>
            <w:tcW w:w="2817" w:type="dxa"/>
            <w:vAlign w:val="bottom"/>
          </w:tcPr>
          <w:p w14:paraId="66AAD3B7" w14:textId="7D312E30"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ab/>
              <w:t>National Professional Officers</w:t>
            </w:r>
          </w:p>
        </w:tc>
        <w:tc>
          <w:tcPr>
            <w:tcW w:w="735" w:type="dxa"/>
            <w:vAlign w:val="bottom"/>
          </w:tcPr>
          <w:p w14:paraId="428913F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7.8</w:t>
            </w:r>
          </w:p>
        </w:tc>
        <w:tc>
          <w:tcPr>
            <w:tcW w:w="735" w:type="dxa"/>
            <w:vAlign w:val="bottom"/>
          </w:tcPr>
          <w:p w14:paraId="1FD071B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5.2</w:t>
            </w:r>
          </w:p>
        </w:tc>
        <w:tc>
          <w:tcPr>
            <w:tcW w:w="735" w:type="dxa"/>
            <w:vAlign w:val="bottom"/>
          </w:tcPr>
          <w:p w14:paraId="1AA7DBD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6.1</w:t>
            </w:r>
          </w:p>
        </w:tc>
        <w:tc>
          <w:tcPr>
            <w:tcW w:w="954" w:type="dxa"/>
            <w:vAlign w:val="bottom"/>
          </w:tcPr>
          <w:p w14:paraId="34A996D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7.8</w:t>
            </w:r>
          </w:p>
        </w:tc>
        <w:tc>
          <w:tcPr>
            <w:tcW w:w="1125" w:type="dxa"/>
            <w:vAlign w:val="bottom"/>
          </w:tcPr>
          <w:p w14:paraId="690C270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6.0</w:t>
            </w:r>
          </w:p>
        </w:tc>
        <w:tc>
          <w:tcPr>
            <w:tcW w:w="909" w:type="dxa"/>
            <w:vAlign w:val="bottom"/>
          </w:tcPr>
          <w:p w14:paraId="1242BDA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7.8</w:t>
            </w:r>
          </w:p>
        </w:tc>
        <w:tc>
          <w:tcPr>
            <w:tcW w:w="1116" w:type="dxa"/>
            <w:vAlign w:val="bottom"/>
          </w:tcPr>
          <w:p w14:paraId="257224F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6.9</w:t>
            </w:r>
          </w:p>
        </w:tc>
        <w:tc>
          <w:tcPr>
            <w:tcW w:w="720" w:type="dxa"/>
            <w:vAlign w:val="bottom"/>
          </w:tcPr>
          <w:p w14:paraId="27007F7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6.0</w:t>
            </w:r>
          </w:p>
        </w:tc>
      </w:tr>
      <w:tr w:rsidR="00697ECA" w:rsidRPr="00B9254C" w14:paraId="4ED1CD1F" w14:textId="77777777" w:rsidTr="00697ECA">
        <w:tc>
          <w:tcPr>
            <w:tcW w:w="2817" w:type="dxa"/>
            <w:vAlign w:val="bottom"/>
          </w:tcPr>
          <w:p w14:paraId="30F10B07" w14:textId="62C5D3B5"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ab/>
              <w:t>National General Service staff</w:t>
            </w:r>
          </w:p>
        </w:tc>
        <w:tc>
          <w:tcPr>
            <w:tcW w:w="735" w:type="dxa"/>
            <w:vAlign w:val="bottom"/>
          </w:tcPr>
          <w:p w14:paraId="2A40DEA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5.9</w:t>
            </w:r>
          </w:p>
        </w:tc>
        <w:tc>
          <w:tcPr>
            <w:tcW w:w="735" w:type="dxa"/>
            <w:vAlign w:val="bottom"/>
          </w:tcPr>
          <w:p w14:paraId="15A9FDE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7.2</w:t>
            </w:r>
          </w:p>
        </w:tc>
        <w:tc>
          <w:tcPr>
            <w:tcW w:w="735" w:type="dxa"/>
            <w:vAlign w:val="bottom"/>
          </w:tcPr>
          <w:p w14:paraId="357EC6A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7.1</w:t>
            </w:r>
          </w:p>
        </w:tc>
        <w:tc>
          <w:tcPr>
            <w:tcW w:w="954" w:type="dxa"/>
            <w:vAlign w:val="bottom"/>
          </w:tcPr>
          <w:p w14:paraId="5B98144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10.6</w:t>
            </w:r>
          </w:p>
        </w:tc>
        <w:tc>
          <w:tcPr>
            <w:tcW w:w="1125" w:type="dxa"/>
            <w:vAlign w:val="bottom"/>
          </w:tcPr>
          <w:p w14:paraId="744E4A7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8.2</w:t>
            </w:r>
          </w:p>
        </w:tc>
        <w:tc>
          <w:tcPr>
            <w:tcW w:w="909" w:type="dxa"/>
            <w:vAlign w:val="bottom"/>
          </w:tcPr>
          <w:p w14:paraId="7A8CC32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11.2</w:t>
            </w:r>
          </w:p>
        </w:tc>
        <w:tc>
          <w:tcPr>
            <w:tcW w:w="1116" w:type="dxa"/>
            <w:vAlign w:val="bottom"/>
          </w:tcPr>
          <w:p w14:paraId="052780E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9.4</w:t>
            </w:r>
          </w:p>
        </w:tc>
        <w:tc>
          <w:tcPr>
            <w:tcW w:w="720" w:type="dxa"/>
            <w:vAlign w:val="bottom"/>
          </w:tcPr>
          <w:p w14:paraId="57897170"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8.2</w:t>
            </w:r>
          </w:p>
        </w:tc>
      </w:tr>
      <w:tr w:rsidR="00697ECA" w:rsidRPr="00B9254C" w14:paraId="76449B00" w14:textId="77777777" w:rsidTr="00697ECA">
        <w:tc>
          <w:tcPr>
            <w:tcW w:w="2817" w:type="dxa"/>
            <w:vAlign w:val="bottom"/>
          </w:tcPr>
          <w:p w14:paraId="61B70CA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Temporary positions</w:t>
            </w:r>
            <w:r w:rsidRPr="00B9254C">
              <w:rPr>
                <w:i/>
                <w:iCs/>
                <w:sz w:val="17"/>
                <w:vertAlign w:val="superscript"/>
                <w:lang w:val="en-GB"/>
              </w:rPr>
              <w:t>a</w:t>
            </w:r>
          </w:p>
        </w:tc>
        <w:tc>
          <w:tcPr>
            <w:tcW w:w="735" w:type="dxa"/>
            <w:vAlign w:val="bottom"/>
          </w:tcPr>
          <w:p w14:paraId="466C6BAF"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486BE15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6DB03BA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54" w:type="dxa"/>
            <w:vAlign w:val="bottom"/>
          </w:tcPr>
          <w:p w14:paraId="1CEDD50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25" w:type="dxa"/>
            <w:vAlign w:val="bottom"/>
          </w:tcPr>
          <w:p w14:paraId="6B12598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9" w:type="dxa"/>
            <w:vAlign w:val="bottom"/>
          </w:tcPr>
          <w:p w14:paraId="3A00ECF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16" w:type="dxa"/>
            <w:vAlign w:val="bottom"/>
          </w:tcPr>
          <w:p w14:paraId="50900C5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20" w:type="dxa"/>
            <w:vAlign w:val="bottom"/>
          </w:tcPr>
          <w:p w14:paraId="4137019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51785625" w14:textId="77777777" w:rsidTr="00697ECA">
        <w:tc>
          <w:tcPr>
            <w:tcW w:w="2817" w:type="dxa"/>
            <w:vAlign w:val="bottom"/>
          </w:tcPr>
          <w:p w14:paraId="40FB4217" w14:textId="2176A690" w:rsidR="00697ECA" w:rsidRPr="00B9254C" w:rsidRDefault="0092111F"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00697ECA" w:rsidRPr="00B9254C">
              <w:rPr>
                <w:sz w:val="17"/>
                <w:lang w:val="en-GB"/>
              </w:rPr>
              <w:t>International staff</w:t>
            </w:r>
          </w:p>
        </w:tc>
        <w:tc>
          <w:tcPr>
            <w:tcW w:w="735" w:type="dxa"/>
            <w:vAlign w:val="bottom"/>
          </w:tcPr>
          <w:p w14:paraId="02234633" w14:textId="2CB31CEE"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13.3</w:t>
            </w:r>
          </w:p>
        </w:tc>
        <w:tc>
          <w:tcPr>
            <w:tcW w:w="735" w:type="dxa"/>
            <w:vAlign w:val="bottom"/>
          </w:tcPr>
          <w:p w14:paraId="1E48BDD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23.3</w:t>
            </w:r>
          </w:p>
        </w:tc>
        <w:tc>
          <w:tcPr>
            <w:tcW w:w="735" w:type="dxa"/>
            <w:vAlign w:val="bottom"/>
          </w:tcPr>
          <w:p w14:paraId="67A7942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6.7</w:t>
            </w:r>
          </w:p>
        </w:tc>
        <w:tc>
          <w:tcPr>
            <w:tcW w:w="954" w:type="dxa"/>
            <w:vAlign w:val="bottom"/>
          </w:tcPr>
          <w:p w14:paraId="22EAC19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6.7</w:t>
            </w:r>
          </w:p>
        </w:tc>
        <w:tc>
          <w:tcPr>
            <w:tcW w:w="1125" w:type="dxa"/>
            <w:vAlign w:val="bottom"/>
          </w:tcPr>
          <w:p w14:paraId="231133D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23.3</w:t>
            </w:r>
          </w:p>
        </w:tc>
        <w:tc>
          <w:tcPr>
            <w:tcW w:w="909" w:type="dxa"/>
            <w:vAlign w:val="bottom"/>
          </w:tcPr>
          <w:p w14:paraId="65FDA5B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13.3</w:t>
            </w:r>
          </w:p>
        </w:tc>
        <w:tc>
          <w:tcPr>
            <w:tcW w:w="1116" w:type="dxa"/>
            <w:vAlign w:val="bottom"/>
          </w:tcPr>
          <w:p w14:paraId="4ECBB16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20.0</w:t>
            </w:r>
          </w:p>
        </w:tc>
        <w:tc>
          <w:tcPr>
            <w:tcW w:w="720" w:type="dxa"/>
            <w:vAlign w:val="bottom"/>
          </w:tcPr>
          <w:p w14:paraId="7760A3C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0.0</w:t>
            </w:r>
          </w:p>
        </w:tc>
      </w:tr>
      <w:tr w:rsidR="00697ECA" w:rsidRPr="00B9254C" w14:paraId="50A3FF98" w14:textId="77777777" w:rsidTr="00697ECA">
        <w:tc>
          <w:tcPr>
            <w:tcW w:w="2817" w:type="dxa"/>
            <w:vAlign w:val="bottom"/>
          </w:tcPr>
          <w:p w14:paraId="108DBAA9" w14:textId="5FE0B27C" w:rsidR="00697ECA" w:rsidRPr="00B9254C" w:rsidRDefault="0092111F"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00697ECA" w:rsidRPr="00B9254C">
              <w:rPr>
                <w:sz w:val="17"/>
                <w:lang w:val="en-GB"/>
              </w:rPr>
              <w:t>National General Service staff</w:t>
            </w:r>
          </w:p>
        </w:tc>
        <w:tc>
          <w:tcPr>
            <w:tcW w:w="735" w:type="dxa"/>
            <w:vAlign w:val="bottom"/>
          </w:tcPr>
          <w:p w14:paraId="283EAA7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9.1</w:t>
            </w:r>
          </w:p>
        </w:tc>
        <w:tc>
          <w:tcPr>
            <w:tcW w:w="735" w:type="dxa"/>
            <w:vAlign w:val="bottom"/>
          </w:tcPr>
          <w:p w14:paraId="071EF64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9.1</w:t>
            </w:r>
          </w:p>
        </w:tc>
        <w:tc>
          <w:tcPr>
            <w:tcW w:w="735" w:type="dxa"/>
            <w:vAlign w:val="bottom"/>
          </w:tcPr>
          <w:p w14:paraId="49DB6B4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9.1</w:t>
            </w:r>
          </w:p>
        </w:tc>
        <w:tc>
          <w:tcPr>
            <w:tcW w:w="954" w:type="dxa"/>
            <w:vAlign w:val="bottom"/>
          </w:tcPr>
          <w:p w14:paraId="01AF0F9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90.9</w:t>
            </w:r>
          </w:p>
        </w:tc>
        <w:tc>
          <w:tcPr>
            <w:tcW w:w="1125" w:type="dxa"/>
            <w:vAlign w:val="bottom"/>
          </w:tcPr>
          <w:p w14:paraId="33F6897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45.5</w:t>
            </w:r>
          </w:p>
        </w:tc>
        <w:tc>
          <w:tcPr>
            <w:tcW w:w="909" w:type="dxa"/>
            <w:vAlign w:val="bottom"/>
          </w:tcPr>
          <w:p w14:paraId="1404AA7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90.9</w:t>
            </w:r>
          </w:p>
        </w:tc>
        <w:tc>
          <w:tcPr>
            <w:tcW w:w="1116" w:type="dxa"/>
            <w:vAlign w:val="bottom"/>
          </w:tcPr>
          <w:p w14:paraId="120CA15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81.8</w:t>
            </w:r>
          </w:p>
        </w:tc>
        <w:tc>
          <w:tcPr>
            <w:tcW w:w="720" w:type="dxa"/>
            <w:vAlign w:val="bottom"/>
          </w:tcPr>
          <w:p w14:paraId="0995BDE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90.0</w:t>
            </w:r>
          </w:p>
        </w:tc>
      </w:tr>
      <w:tr w:rsidR="00697ECA" w:rsidRPr="00B9254C" w14:paraId="4F57E0AC" w14:textId="77777777" w:rsidTr="00697ECA">
        <w:tc>
          <w:tcPr>
            <w:tcW w:w="2817" w:type="dxa"/>
            <w:vAlign w:val="bottom"/>
          </w:tcPr>
          <w:p w14:paraId="3E91438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United Nations Volunteers</w:t>
            </w:r>
          </w:p>
        </w:tc>
        <w:tc>
          <w:tcPr>
            <w:tcW w:w="735" w:type="dxa"/>
            <w:vAlign w:val="bottom"/>
          </w:tcPr>
          <w:p w14:paraId="65D8A60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43662A6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35" w:type="dxa"/>
            <w:vAlign w:val="bottom"/>
          </w:tcPr>
          <w:p w14:paraId="4176167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54" w:type="dxa"/>
            <w:vAlign w:val="bottom"/>
          </w:tcPr>
          <w:p w14:paraId="6A49045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25" w:type="dxa"/>
            <w:vAlign w:val="bottom"/>
          </w:tcPr>
          <w:p w14:paraId="0E39268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909" w:type="dxa"/>
            <w:vAlign w:val="bottom"/>
          </w:tcPr>
          <w:p w14:paraId="41889CA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1116" w:type="dxa"/>
            <w:vAlign w:val="bottom"/>
          </w:tcPr>
          <w:p w14:paraId="30EDA92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20" w:type="dxa"/>
            <w:vAlign w:val="bottom"/>
          </w:tcPr>
          <w:p w14:paraId="287FF14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697ECA" w:rsidRPr="00B9254C" w14:paraId="67E26373" w14:textId="77777777" w:rsidTr="00697ECA">
        <w:tc>
          <w:tcPr>
            <w:tcW w:w="2817" w:type="dxa"/>
            <w:vAlign w:val="bottom"/>
          </w:tcPr>
          <w:p w14:paraId="795302F1" w14:textId="5A57B2B9"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ab/>
              <w:t>International</w:t>
            </w:r>
          </w:p>
        </w:tc>
        <w:tc>
          <w:tcPr>
            <w:tcW w:w="735" w:type="dxa"/>
            <w:vAlign w:val="bottom"/>
          </w:tcPr>
          <w:p w14:paraId="00A4DD4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2.8</w:t>
            </w:r>
          </w:p>
        </w:tc>
        <w:tc>
          <w:tcPr>
            <w:tcW w:w="735" w:type="dxa"/>
            <w:vAlign w:val="bottom"/>
          </w:tcPr>
          <w:p w14:paraId="4FCA8F4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5.2</w:t>
            </w:r>
          </w:p>
        </w:tc>
        <w:tc>
          <w:tcPr>
            <w:tcW w:w="735" w:type="dxa"/>
            <w:vAlign w:val="bottom"/>
          </w:tcPr>
          <w:p w14:paraId="28E7EC3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5.2</w:t>
            </w:r>
          </w:p>
        </w:tc>
        <w:tc>
          <w:tcPr>
            <w:tcW w:w="954" w:type="dxa"/>
            <w:vAlign w:val="bottom"/>
          </w:tcPr>
          <w:p w14:paraId="645CDEBA"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21.4</w:t>
            </w:r>
          </w:p>
        </w:tc>
        <w:tc>
          <w:tcPr>
            <w:tcW w:w="1125" w:type="dxa"/>
            <w:vAlign w:val="bottom"/>
          </w:tcPr>
          <w:p w14:paraId="59D977F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10.5</w:t>
            </w:r>
          </w:p>
        </w:tc>
        <w:tc>
          <w:tcPr>
            <w:tcW w:w="909" w:type="dxa"/>
            <w:vAlign w:val="bottom"/>
          </w:tcPr>
          <w:p w14:paraId="06DCE66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27.4</w:t>
            </w:r>
          </w:p>
        </w:tc>
        <w:tc>
          <w:tcPr>
            <w:tcW w:w="1116" w:type="dxa"/>
            <w:vAlign w:val="bottom"/>
          </w:tcPr>
          <w:p w14:paraId="637FA773"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19.4</w:t>
            </w:r>
          </w:p>
        </w:tc>
        <w:tc>
          <w:tcPr>
            <w:tcW w:w="720" w:type="dxa"/>
            <w:vAlign w:val="bottom"/>
          </w:tcPr>
          <w:p w14:paraId="3347E32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3.0</w:t>
            </w:r>
          </w:p>
        </w:tc>
      </w:tr>
      <w:tr w:rsidR="00697ECA" w:rsidRPr="00B9254C" w14:paraId="7221BACC" w14:textId="77777777" w:rsidTr="00697ECA">
        <w:tc>
          <w:tcPr>
            <w:tcW w:w="2817" w:type="dxa"/>
            <w:vAlign w:val="bottom"/>
          </w:tcPr>
          <w:p w14:paraId="730E1E85" w14:textId="7170599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ab/>
              <w:t>National</w:t>
            </w:r>
          </w:p>
        </w:tc>
        <w:tc>
          <w:tcPr>
            <w:tcW w:w="735" w:type="dxa"/>
            <w:vAlign w:val="bottom"/>
          </w:tcPr>
          <w:p w14:paraId="7FB5DC2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 xml:space="preserve"> 9.4</w:t>
            </w:r>
          </w:p>
        </w:tc>
        <w:tc>
          <w:tcPr>
            <w:tcW w:w="735" w:type="dxa"/>
            <w:vAlign w:val="bottom"/>
          </w:tcPr>
          <w:p w14:paraId="7ECBF6D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12.7</w:t>
            </w:r>
          </w:p>
        </w:tc>
        <w:tc>
          <w:tcPr>
            <w:tcW w:w="735" w:type="dxa"/>
            <w:vAlign w:val="bottom"/>
          </w:tcPr>
          <w:p w14:paraId="71CAAB17"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13.0</w:t>
            </w:r>
          </w:p>
        </w:tc>
        <w:tc>
          <w:tcPr>
            <w:tcW w:w="954" w:type="dxa"/>
            <w:vAlign w:val="bottom"/>
          </w:tcPr>
          <w:p w14:paraId="071288B8"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16.4</w:t>
            </w:r>
          </w:p>
        </w:tc>
        <w:tc>
          <w:tcPr>
            <w:tcW w:w="1125" w:type="dxa"/>
            <w:vAlign w:val="bottom"/>
          </w:tcPr>
          <w:p w14:paraId="6D13BBF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14.5</w:t>
            </w:r>
          </w:p>
        </w:tc>
        <w:tc>
          <w:tcPr>
            <w:tcW w:w="909" w:type="dxa"/>
            <w:vAlign w:val="bottom"/>
          </w:tcPr>
          <w:p w14:paraId="291E79ED"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18.2</w:t>
            </w:r>
          </w:p>
        </w:tc>
        <w:tc>
          <w:tcPr>
            <w:tcW w:w="1116" w:type="dxa"/>
            <w:vAlign w:val="bottom"/>
          </w:tcPr>
          <w:p w14:paraId="11383D5C"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14.5</w:t>
            </w:r>
          </w:p>
        </w:tc>
        <w:tc>
          <w:tcPr>
            <w:tcW w:w="720" w:type="dxa"/>
            <w:vAlign w:val="bottom"/>
          </w:tcPr>
          <w:p w14:paraId="3596B81B"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14.5</w:t>
            </w:r>
          </w:p>
        </w:tc>
      </w:tr>
      <w:tr w:rsidR="00697ECA" w:rsidRPr="00B9254C" w14:paraId="266F6FB1" w14:textId="77777777" w:rsidTr="00697ECA">
        <w:tc>
          <w:tcPr>
            <w:tcW w:w="2817" w:type="dxa"/>
            <w:tcBorders>
              <w:bottom w:val="single" w:sz="12" w:space="0" w:color="auto"/>
            </w:tcBorders>
            <w:vAlign w:val="bottom"/>
          </w:tcPr>
          <w:p w14:paraId="13081FE5"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B9254C">
              <w:rPr>
                <w:sz w:val="17"/>
                <w:lang w:val="en-GB"/>
              </w:rPr>
              <w:t>Government-provided personnel</w:t>
            </w:r>
          </w:p>
        </w:tc>
        <w:tc>
          <w:tcPr>
            <w:tcW w:w="735" w:type="dxa"/>
            <w:tcBorders>
              <w:bottom w:val="single" w:sz="12" w:space="0" w:color="auto"/>
            </w:tcBorders>
            <w:vAlign w:val="bottom"/>
          </w:tcPr>
          <w:p w14:paraId="39BC4A5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1.9</w:t>
            </w:r>
          </w:p>
        </w:tc>
        <w:tc>
          <w:tcPr>
            <w:tcW w:w="735" w:type="dxa"/>
            <w:tcBorders>
              <w:bottom w:val="single" w:sz="12" w:space="0" w:color="auto"/>
            </w:tcBorders>
            <w:vAlign w:val="bottom"/>
          </w:tcPr>
          <w:p w14:paraId="077DB824"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1.9</w:t>
            </w:r>
          </w:p>
        </w:tc>
        <w:tc>
          <w:tcPr>
            <w:tcW w:w="735" w:type="dxa"/>
            <w:tcBorders>
              <w:bottom w:val="single" w:sz="12" w:space="0" w:color="auto"/>
            </w:tcBorders>
            <w:vAlign w:val="bottom"/>
          </w:tcPr>
          <w:p w14:paraId="7D0DF53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0.9</w:t>
            </w:r>
          </w:p>
        </w:tc>
        <w:tc>
          <w:tcPr>
            <w:tcW w:w="954" w:type="dxa"/>
            <w:tcBorders>
              <w:bottom w:val="single" w:sz="12" w:space="0" w:color="auto"/>
            </w:tcBorders>
            <w:vAlign w:val="bottom"/>
          </w:tcPr>
          <w:p w14:paraId="1B84813E"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12.0</w:t>
            </w:r>
          </w:p>
        </w:tc>
        <w:tc>
          <w:tcPr>
            <w:tcW w:w="1125" w:type="dxa"/>
            <w:tcBorders>
              <w:bottom w:val="single" w:sz="12" w:space="0" w:color="auto"/>
            </w:tcBorders>
            <w:vAlign w:val="bottom"/>
          </w:tcPr>
          <w:p w14:paraId="455EE796"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2.8</w:t>
            </w:r>
          </w:p>
        </w:tc>
        <w:tc>
          <w:tcPr>
            <w:tcW w:w="909" w:type="dxa"/>
            <w:tcBorders>
              <w:bottom w:val="single" w:sz="12" w:space="0" w:color="auto"/>
            </w:tcBorders>
            <w:vAlign w:val="bottom"/>
          </w:tcPr>
          <w:p w14:paraId="64E74AF1"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17.6</w:t>
            </w:r>
          </w:p>
        </w:tc>
        <w:tc>
          <w:tcPr>
            <w:tcW w:w="1116" w:type="dxa"/>
            <w:tcBorders>
              <w:bottom w:val="single" w:sz="12" w:space="0" w:color="auto"/>
            </w:tcBorders>
            <w:vAlign w:val="bottom"/>
          </w:tcPr>
          <w:p w14:paraId="1832FD82"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7.4</w:t>
            </w:r>
          </w:p>
        </w:tc>
        <w:tc>
          <w:tcPr>
            <w:tcW w:w="720" w:type="dxa"/>
            <w:tcBorders>
              <w:bottom w:val="single" w:sz="12" w:space="0" w:color="auto"/>
            </w:tcBorders>
            <w:vAlign w:val="bottom"/>
          </w:tcPr>
          <w:p w14:paraId="773424A9" w14:textId="77777777" w:rsidR="00697ECA" w:rsidRPr="00B9254C" w:rsidRDefault="00697ECA" w:rsidP="002031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B9254C">
              <w:rPr>
                <w:sz w:val="17"/>
                <w:lang w:val="en-GB"/>
              </w:rPr>
              <w:t>63.0</w:t>
            </w:r>
          </w:p>
        </w:tc>
      </w:tr>
    </w:tbl>
    <w:p w14:paraId="5F988E94" w14:textId="77777777" w:rsidR="003046F9" w:rsidRPr="00B9254C" w:rsidRDefault="003046F9" w:rsidP="003046F9">
      <w:pPr>
        <w:pStyle w:val="SingleTxt"/>
        <w:spacing w:after="0" w:line="120" w:lineRule="exact"/>
        <w:rPr>
          <w:sz w:val="10"/>
          <w:lang w:val="en-GB"/>
        </w:rPr>
      </w:pPr>
    </w:p>
    <w:p w14:paraId="64AF9C84" w14:textId="5D1D33B9" w:rsidR="00D87DC9" w:rsidRPr="00B9254C" w:rsidRDefault="003046F9" w:rsidP="00697ECA">
      <w:pPr>
        <w:pStyle w:val="FootnoteText"/>
        <w:tabs>
          <w:tab w:val="clear" w:pos="418"/>
          <w:tab w:val="right" w:pos="216"/>
          <w:tab w:val="left" w:pos="288"/>
          <w:tab w:val="right" w:pos="576"/>
          <w:tab w:val="left" w:pos="648"/>
        </w:tabs>
        <w:ind w:left="288" w:hanging="288"/>
        <w:rPr>
          <w:lang w:val="en-GB"/>
        </w:rPr>
      </w:pPr>
      <w:r w:rsidRPr="00B9254C">
        <w:rPr>
          <w:lang w:val="en-GB"/>
        </w:rPr>
        <w:tab/>
      </w:r>
      <w:r w:rsidR="00D87DC9" w:rsidRPr="00B9254C">
        <w:rPr>
          <w:i/>
          <w:iCs/>
          <w:vertAlign w:val="superscript"/>
          <w:lang w:val="en-GB"/>
        </w:rPr>
        <w:t>a</w:t>
      </w:r>
      <w:r w:rsidRPr="00B9254C">
        <w:rPr>
          <w:lang w:val="en-GB"/>
        </w:rPr>
        <w:tab/>
      </w:r>
      <w:r w:rsidR="00D87DC9" w:rsidRPr="00B9254C">
        <w:rPr>
          <w:lang w:val="en-GB"/>
        </w:rPr>
        <w:t>Funded under general temporary assistance.</w:t>
      </w:r>
    </w:p>
    <w:p w14:paraId="40146A91" w14:textId="77777777" w:rsidR="00D87DC9" w:rsidRPr="00B9254C" w:rsidRDefault="00D87DC9" w:rsidP="003046F9">
      <w:pPr>
        <w:pStyle w:val="SingleTxt"/>
        <w:spacing w:after="0" w:line="120" w:lineRule="exact"/>
        <w:rPr>
          <w:sz w:val="10"/>
          <w:lang w:val="en-GB"/>
        </w:rPr>
      </w:pPr>
    </w:p>
    <w:p w14:paraId="5DE7880D" w14:textId="77777777" w:rsidR="003046F9" w:rsidRPr="00B9254C" w:rsidRDefault="003046F9" w:rsidP="003046F9">
      <w:pPr>
        <w:pStyle w:val="SingleTxt"/>
        <w:spacing w:after="0" w:line="120" w:lineRule="exact"/>
        <w:rPr>
          <w:sz w:val="10"/>
          <w:lang w:val="en-GB"/>
        </w:rPr>
      </w:pPr>
    </w:p>
    <w:p w14:paraId="0E485647" w14:textId="77777777" w:rsidR="00D87DC9" w:rsidRPr="00B9254C" w:rsidRDefault="00D87DC9" w:rsidP="00D87DC9">
      <w:pPr>
        <w:pStyle w:val="SingleTxt"/>
        <w:rPr>
          <w:lang w:val="en-GB"/>
        </w:rPr>
      </w:pPr>
      <w:r w:rsidRPr="00B9254C">
        <w:rPr>
          <w:lang w:val="en-GB"/>
        </w:rPr>
        <w:t>37.</w:t>
      </w:r>
      <w:r w:rsidRPr="00B9254C">
        <w:rPr>
          <w:lang w:val="en-GB"/>
        </w:rPr>
        <w:tab/>
        <w:t xml:space="preserve">The Advisory Committee notes that the vacancy rates proposed for 2026/27 for all staff categories reflect the consolidation of MINUSCA operations and the withdrawal of all elections-related resources and staffing, as well as the aforementioned proposed abolishment of posts and positions for 2026/27. </w:t>
      </w:r>
      <w:r w:rsidRPr="00B9254C">
        <w:rPr>
          <w:b/>
          <w:bCs/>
          <w:lang w:val="en-GB"/>
        </w:rPr>
        <w:t>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abolishments and realistic projected recruitment and potential upcoming vacancies, to the extent possible.</w:t>
      </w:r>
    </w:p>
    <w:p w14:paraId="0822A66E" w14:textId="77777777" w:rsidR="00D87DC9" w:rsidRPr="00B9254C" w:rsidRDefault="00D87DC9" w:rsidP="00697ECA">
      <w:pPr>
        <w:pStyle w:val="SingleTxt"/>
        <w:spacing w:after="0" w:line="120" w:lineRule="exact"/>
        <w:rPr>
          <w:sz w:val="10"/>
          <w:lang w:val="en-GB"/>
        </w:rPr>
      </w:pPr>
    </w:p>
    <w:p w14:paraId="34578C20" w14:textId="1174AF3F"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Nationalization of posts and positions</w:t>
      </w:r>
    </w:p>
    <w:p w14:paraId="1DA76A04" w14:textId="77777777" w:rsidR="00D87DC9" w:rsidRPr="00B9254C" w:rsidRDefault="00D87DC9" w:rsidP="00697ECA">
      <w:pPr>
        <w:pStyle w:val="SingleTxt"/>
        <w:spacing w:after="0" w:line="120" w:lineRule="exact"/>
        <w:rPr>
          <w:sz w:val="10"/>
          <w:lang w:val="en-GB"/>
        </w:rPr>
      </w:pPr>
    </w:p>
    <w:p w14:paraId="5F9F9687" w14:textId="2B6B23BE" w:rsidR="00D87DC9" w:rsidRPr="00B9254C" w:rsidRDefault="00D87DC9" w:rsidP="003046F9">
      <w:pPr>
        <w:pStyle w:val="SingleTxt"/>
        <w:rPr>
          <w:spacing w:val="2"/>
          <w:w w:val="102"/>
          <w:lang w:val="en-GB"/>
        </w:rPr>
      </w:pPr>
      <w:r w:rsidRPr="00B9254C">
        <w:rPr>
          <w:spacing w:val="2"/>
          <w:w w:val="102"/>
          <w:lang w:val="en-GB"/>
        </w:rPr>
        <w:t>38.</w:t>
      </w:r>
      <w:r w:rsidRPr="00B9254C">
        <w:rPr>
          <w:spacing w:val="2"/>
          <w:w w:val="102"/>
          <w:lang w:val="en-GB"/>
        </w:rPr>
        <w:tab/>
        <w:t>Section V of the report of the Secretary-General indicates that MINUSCA is implementing a 2024</w:t>
      </w:r>
      <w:r w:rsidR="00DE7052" w:rsidRPr="00B9254C">
        <w:rPr>
          <w:spacing w:val="2"/>
          <w:w w:val="102"/>
          <w:lang w:val="en-GB"/>
        </w:rPr>
        <w:t>–</w:t>
      </w:r>
      <w:r w:rsidRPr="00B9254C">
        <w:rPr>
          <w:spacing w:val="2"/>
          <w:w w:val="102"/>
          <w:lang w:val="en-GB"/>
        </w:rPr>
        <w:t>2028 nationalization strategy that provides for the transition of selected international functions to national positions, including through the conversion of vacant posts, natural attrition and targeted capacity-building initiatives. Also, as described above, for 2026/27, MINUSCA proposes to establish one post of Victims’ Rights Officer (National Professional Officer) in the Office of the Deputy Special Representative of the Secretary-General (Resident Coordinator/Humanitarian Coordinator). It is also indicated that the ongoing liquidity constraints have led to a temporary freeze on recruitment and, while the implementation of certain nationalization measures has been postponed, MINUSCA intends to resume implementation of its nationalization strategy during 2027/28, at which time measurable targets and milestones would be established, to be reflected in future budget proposals.</w:t>
      </w:r>
    </w:p>
    <w:p w14:paraId="32E48F5B" w14:textId="5227ED20" w:rsidR="00D87DC9" w:rsidRPr="00B9254C" w:rsidRDefault="00D87DC9" w:rsidP="003046F9">
      <w:pPr>
        <w:pStyle w:val="SingleTxt"/>
        <w:rPr>
          <w:lang w:val="en-GB"/>
        </w:rPr>
      </w:pPr>
      <w:r w:rsidRPr="00B9254C">
        <w:rPr>
          <w:lang w:val="en-GB"/>
        </w:rPr>
        <w:t>39.</w:t>
      </w:r>
      <w:r w:rsidRPr="00B9254C">
        <w:rPr>
          <w:lang w:val="en-GB"/>
        </w:rPr>
        <w:tab/>
        <w:t xml:space="preserve">Upon enquiry, the Advisory Committee was informed that national staff posts have increased from 666 in 2022/23 to 692 in 2024/25 and would amount to 691 through the proposed 2026/27 period, while Professional staff posts fluctuated between 1,005 and 1,023 between 2022/23 and 2025/26 and are proposed to amount to 872 for 2026/27. The ratio of National to Professional staff changed from 0.66 in 2022/23 to 0.79 in the proposed 2026/27 period. </w:t>
      </w:r>
      <w:r w:rsidRPr="00B9254C">
        <w:rPr>
          <w:b/>
          <w:bCs/>
          <w:lang w:val="en-GB"/>
        </w:rPr>
        <w:t xml:space="preserve">The Advisory Committee recalls </w:t>
      </w:r>
      <w:r w:rsidRPr="00B9254C">
        <w:rPr>
          <w:b/>
          <w:bCs/>
          <w:spacing w:val="2"/>
          <w:lang w:val="en-GB"/>
        </w:rPr>
        <w:t xml:space="preserve">paragraph 34 of General Assembly resolution </w:t>
      </w:r>
      <w:hyperlink r:id="rId39" w:history="1">
        <w:r w:rsidRPr="00B9254C">
          <w:rPr>
            <w:rStyle w:val="Hyperlink"/>
            <w:b/>
            <w:bCs/>
            <w:spacing w:val="2"/>
            <w:lang w:val="en-GB"/>
          </w:rPr>
          <w:t>76/274</w:t>
        </w:r>
      </w:hyperlink>
      <w:r w:rsidRPr="00B9254C">
        <w:rPr>
          <w:b/>
          <w:bCs/>
          <w:spacing w:val="2"/>
          <w:lang w:val="en-GB"/>
        </w:rPr>
        <w:t xml:space="preserve"> and reiterates the importance</w:t>
      </w:r>
      <w:r w:rsidRPr="00B9254C">
        <w:rPr>
          <w:b/>
          <w:bCs/>
          <w:lang w:val="en-GB"/>
        </w:rPr>
        <w:t xml:space="preserve"> of building national capacity, and trusts that MINUSCA will continue its efforts to nationalize functions commensurate with its mission mandate and operational requirements and that proposals in that regard will be included in the next budget submission (see also </w:t>
      </w:r>
      <w:hyperlink r:id="rId40" w:history="1">
        <w:r w:rsidRPr="00B9254C">
          <w:rPr>
            <w:rStyle w:val="Hyperlink"/>
            <w:b/>
            <w:bCs/>
            <w:lang w:val="en-GB"/>
          </w:rPr>
          <w:t>A/79/724</w:t>
        </w:r>
      </w:hyperlink>
      <w:r w:rsidRPr="00B9254C">
        <w:rPr>
          <w:b/>
          <w:bCs/>
          <w:lang w:val="en-GB"/>
        </w:rPr>
        <w:t xml:space="preserve">, para. 38, and </w:t>
      </w:r>
      <w:hyperlink r:id="rId41" w:history="1">
        <w:r w:rsidRPr="00B9254C">
          <w:rPr>
            <w:rStyle w:val="Hyperlink"/>
            <w:b/>
            <w:bCs/>
            <w:lang w:val="en-GB"/>
          </w:rPr>
          <w:t>A/79/724/Add.13</w:t>
        </w:r>
      </w:hyperlink>
      <w:r w:rsidRPr="00B9254C">
        <w:rPr>
          <w:b/>
          <w:bCs/>
          <w:lang w:val="en-GB"/>
        </w:rPr>
        <w:t>, para. 33).</w:t>
      </w:r>
    </w:p>
    <w:p w14:paraId="055C6676" w14:textId="77777777" w:rsidR="00D87DC9" w:rsidRPr="00B9254C" w:rsidRDefault="00D87DC9" w:rsidP="00D87DC9">
      <w:pPr>
        <w:pStyle w:val="SingleTxt"/>
        <w:rPr>
          <w:lang w:val="en-GB"/>
        </w:rPr>
      </w:pPr>
      <w:r w:rsidRPr="00B9254C">
        <w:rPr>
          <w:lang w:val="en-GB"/>
        </w:rPr>
        <w:t>40.</w:t>
      </w:r>
      <w:r w:rsidRPr="00B9254C">
        <w:rPr>
          <w:lang w:val="en-GB"/>
        </w:rPr>
        <w:tab/>
      </w:r>
      <w:r w:rsidRPr="00B9254C">
        <w:rPr>
          <w:b/>
          <w:bCs/>
          <w:lang w:val="en-GB"/>
        </w:rPr>
        <w:t>The Advisory Committee recommends the approval of the proposals of the Secretary-General for civilian personnel.</w:t>
      </w:r>
    </w:p>
    <w:p w14:paraId="44D36C86" w14:textId="77777777" w:rsidR="00D87DC9" w:rsidRPr="00B9254C" w:rsidRDefault="00D87DC9" w:rsidP="00697ECA">
      <w:pPr>
        <w:pStyle w:val="SingleTxt"/>
        <w:spacing w:after="0" w:line="120" w:lineRule="exact"/>
        <w:rPr>
          <w:sz w:val="10"/>
          <w:lang w:val="en-GB"/>
        </w:rPr>
      </w:pPr>
    </w:p>
    <w:p w14:paraId="7DF7183C" w14:textId="7671D22A" w:rsidR="00D87DC9" w:rsidRPr="00B9254C" w:rsidRDefault="00697ECA" w:rsidP="002031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3.</w:t>
      </w:r>
      <w:r w:rsidR="00D87DC9" w:rsidRPr="00B9254C">
        <w:rPr>
          <w:lang w:val="en-GB"/>
        </w:rPr>
        <w:tab/>
        <w:t>Operational costs</w:t>
      </w:r>
    </w:p>
    <w:p w14:paraId="790362ED" w14:textId="77777777" w:rsidR="00697ECA" w:rsidRPr="00B9254C" w:rsidRDefault="00697ECA" w:rsidP="00203135">
      <w:pPr>
        <w:pStyle w:val="SingleTxt"/>
        <w:keepNext/>
        <w:spacing w:after="0" w:line="120" w:lineRule="exact"/>
        <w:rPr>
          <w:sz w:val="10"/>
          <w:lang w:val="en-GB"/>
        </w:rPr>
      </w:pPr>
    </w:p>
    <w:p w14:paraId="0B69A18C" w14:textId="77777777" w:rsidR="00D87DC9" w:rsidRPr="00B9254C" w:rsidRDefault="00D87DC9" w:rsidP="00203135">
      <w:pPr>
        <w:pStyle w:val="SingleTxt"/>
        <w:keepNext/>
        <w:spacing w:after="0"/>
        <w:ind w:left="0"/>
        <w:rPr>
          <w:sz w:val="14"/>
          <w:szCs w:val="14"/>
          <w:lang w:val="en-GB"/>
        </w:rPr>
      </w:pPr>
      <w:r w:rsidRPr="00B9254C">
        <w:rPr>
          <w:sz w:val="14"/>
          <w:szCs w:val="14"/>
          <w:lang w:val="en-GB"/>
        </w:rPr>
        <w:t>(Thousands of United States dollars; budget year is 1 July to 30 June)</w:t>
      </w:r>
    </w:p>
    <w:p w14:paraId="6E673320" w14:textId="77777777" w:rsidR="00D87DC9" w:rsidRPr="00B9254C" w:rsidRDefault="00D87DC9" w:rsidP="00203135">
      <w:pPr>
        <w:pStyle w:val="SingleTxt"/>
        <w:keepNext/>
        <w:spacing w:after="0" w:line="120" w:lineRule="exact"/>
        <w:rPr>
          <w:sz w:val="10"/>
          <w:lang w:val="en-GB"/>
        </w:rPr>
      </w:pPr>
    </w:p>
    <w:p w14:paraId="1ED8B2FC" w14:textId="77777777" w:rsidR="00697ECA" w:rsidRPr="00B9254C" w:rsidRDefault="00697ECA" w:rsidP="00203135">
      <w:pPr>
        <w:pStyle w:val="SingleTxt"/>
        <w:keepNe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84"/>
        <w:gridCol w:w="1040"/>
        <w:gridCol w:w="1037"/>
        <w:gridCol w:w="1040"/>
        <w:gridCol w:w="1037"/>
        <w:gridCol w:w="1036"/>
        <w:gridCol w:w="61"/>
        <w:gridCol w:w="771"/>
        <w:gridCol w:w="844"/>
      </w:tblGrid>
      <w:tr w:rsidR="00DE7052" w:rsidRPr="00B9254C" w14:paraId="0241D5FA" w14:textId="77777777" w:rsidTr="005D0B60">
        <w:trPr>
          <w:tblHeader/>
        </w:trPr>
        <w:tc>
          <w:tcPr>
            <w:tcW w:w="2984" w:type="dxa"/>
            <w:vMerge w:val="restart"/>
            <w:tcBorders>
              <w:top w:val="single" w:sz="4" w:space="0" w:color="auto"/>
            </w:tcBorders>
            <w:vAlign w:val="bottom"/>
          </w:tcPr>
          <w:p w14:paraId="7633527C" w14:textId="3871FBBB" w:rsidR="00DE7052" w:rsidRPr="00B9254C" w:rsidRDefault="00DE7052" w:rsidP="00203135">
            <w:pPr>
              <w:pStyle w:val="SingleTxt"/>
              <w:keepNext/>
              <w:spacing w:before="81" w:after="81" w:line="160" w:lineRule="exact"/>
              <w:ind w:left="0" w:right="40"/>
              <w:rPr>
                <w:i/>
                <w:sz w:val="14"/>
                <w:lang w:val="en-GB"/>
              </w:rPr>
            </w:pPr>
            <w:r w:rsidRPr="00B9254C">
              <w:rPr>
                <w:i/>
                <w:sz w:val="14"/>
                <w:lang w:val="en-GB"/>
              </w:rPr>
              <w:t>Category</w:t>
            </w:r>
          </w:p>
        </w:tc>
        <w:tc>
          <w:tcPr>
            <w:tcW w:w="1040" w:type="dxa"/>
            <w:vMerge w:val="restart"/>
            <w:tcBorders>
              <w:top w:val="single" w:sz="4" w:space="0" w:color="auto"/>
              <w:bottom w:val="single" w:sz="4" w:space="0" w:color="auto"/>
            </w:tcBorders>
            <w:vAlign w:val="bottom"/>
          </w:tcPr>
          <w:p w14:paraId="29F049F9" w14:textId="1930CF2F" w:rsidR="00DE7052" w:rsidRPr="00B9254C" w:rsidRDefault="00DE7052" w:rsidP="00203135">
            <w:pPr>
              <w:pStyle w:val="SingleTxt"/>
              <w:keepNext/>
              <w:spacing w:before="81" w:after="81" w:line="160" w:lineRule="exact"/>
              <w:ind w:left="0" w:right="40"/>
              <w:jc w:val="right"/>
              <w:rPr>
                <w:i/>
                <w:sz w:val="14"/>
                <w:lang w:val="en-GB"/>
              </w:rPr>
            </w:pPr>
            <w:r w:rsidRPr="00B9254C">
              <w:rPr>
                <w:i/>
                <w:sz w:val="14"/>
                <w:lang w:val="en-GB"/>
              </w:rPr>
              <w:t>Apportionment (2024/25)</w:t>
            </w:r>
          </w:p>
        </w:tc>
        <w:tc>
          <w:tcPr>
            <w:tcW w:w="1037" w:type="dxa"/>
            <w:vMerge w:val="restart"/>
            <w:tcBorders>
              <w:top w:val="single" w:sz="4" w:space="0" w:color="auto"/>
              <w:bottom w:val="single" w:sz="4" w:space="0" w:color="auto"/>
            </w:tcBorders>
            <w:vAlign w:val="bottom"/>
          </w:tcPr>
          <w:p w14:paraId="025290BB" w14:textId="548E9C93" w:rsidR="00DE7052" w:rsidRPr="00B9254C" w:rsidRDefault="00DE7052" w:rsidP="00203135">
            <w:pPr>
              <w:pStyle w:val="SingleTxt"/>
              <w:keepNext/>
              <w:spacing w:before="81" w:after="81" w:line="160" w:lineRule="exact"/>
              <w:ind w:left="0" w:right="40"/>
              <w:jc w:val="right"/>
              <w:rPr>
                <w:i/>
                <w:sz w:val="14"/>
                <w:lang w:val="en-GB"/>
              </w:rPr>
            </w:pPr>
            <w:r w:rsidRPr="00B9254C">
              <w:rPr>
                <w:i/>
                <w:sz w:val="14"/>
                <w:lang w:val="en-GB"/>
              </w:rPr>
              <w:t>Expenditure (2024/25)</w:t>
            </w:r>
          </w:p>
        </w:tc>
        <w:tc>
          <w:tcPr>
            <w:tcW w:w="1040" w:type="dxa"/>
            <w:vMerge w:val="restart"/>
            <w:tcBorders>
              <w:top w:val="single" w:sz="4" w:space="0" w:color="auto"/>
              <w:bottom w:val="single" w:sz="4" w:space="0" w:color="auto"/>
            </w:tcBorders>
            <w:vAlign w:val="bottom"/>
          </w:tcPr>
          <w:p w14:paraId="3486FD0C" w14:textId="0DEAF2A3" w:rsidR="00DE7052" w:rsidRPr="00B9254C" w:rsidRDefault="00DE7052" w:rsidP="00203135">
            <w:pPr>
              <w:pStyle w:val="SingleTxt"/>
              <w:keepNext/>
              <w:spacing w:before="81" w:after="81" w:line="160" w:lineRule="exact"/>
              <w:ind w:left="0" w:right="40"/>
              <w:jc w:val="right"/>
              <w:rPr>
                <w:i/>
                <w:sz w:val="14"/>
                <w:lang w:val="en-GB"/>
              </w:rPr>
            </w:pPr>
            <w:r w:rsidRPr="00B9254C">
              <w:rPr>
                <w:i/>
                <w:sz w:val="14"/>
                <w:lang w:val="en-GB"/>
              </w:rPr>
              <w:t>Apportionment (2025/26)</w:t>
            </w:r>
          </w:p>
        </w:tc>
        <w:tc>
          <w:tcPr>
            <w:tcW w:w="1037" w:type="dxa"/>
            <w:vMerge w:val="restart"/>
            <w:tcBorders>
              <w:top w:val="single" w:sz="4" w:space="0" w:color="auto"/>
              <w:bottom w:val="single" w:sz="4" w:space="0" w:color="auto"/>
            </w:tcBorders>
            <w:vAlign w:val="bottom"/>
          </w:tcPr>
          <w:p w14:paraId="39A68828" w14:textId="3CDEF833" w:rsidR="00DE7052" w:rsidRPr="00B9254C" w:rsidRDefault="00DE7052" w:rsidP="00203135">
            <w:pPr>
              <w:pStyle w:val="SingleTxt"/>
              <w:keepNext/>
              <w:spacing w:before="81" w:after="81" w:line="160" w:lineRule="exact"/>
              <w:ind w:left="0" w:right="40"/>
              <w:jc w:val="right"/>
              <w:rPr>
                <w:i/>
                <w:sz w:val="14"/>
                <w:lang w:val="en-GB"/>
              </w:rPr>
            </w:pPr>
            <w:r w:rsidRPr="00B9254C">
              <w:rPr>
                <w:i/>
                <w:sz w:val="14"/>
                <w:lang w:val="en-GB"/>
              </w:rPr>
              <w:t>Expenditure as at 28 February 2026</w:t>
            </w:r>
          </w:p>
        </w:tc>
        <w:tc>
          <w:tcPr>
            <w:tcW w:w="1036" w:type="dxa"/>
            <w:vMerge w:val="restart"/>
            <w:tcBorders>
              <w:top w:val="single" w:sz="4" w:space="0" w:color="auto"/>
              <w:bottom w:val="single" w:sz="4" w:space="0" w:color="auto"/>
            </w:tcBorders>
            <w:vAlign w:val="bottom"/>
          </w:tcPr>
          <w:p w14:paraId="44C24C5C" w14:textId="0AD67D14" w:rsidR="00DE7052" w:rsidRPr="00B9254C" w:rsidRDefault="00DE7052" w:rsidP="00203135">
            <w:pPr>
              <w:pStyle w:val="SingleTxt"/>
              <w:keepNext/>
              <w:spacing w:before="81" w:after="81" w:line="160" w:lineRule="exact"/>
              <w:ind w:left="0" w:right="40"/>
              <w:jc w:val="right"/>
              <w:rPr>
                <w:i/>
                <w:sz w:val="14"/>
                <w:lang w:val="en-GB"/>
              </w:rPr>
            </w:pPr>
            <w:r w:rsidRPr="00B9254C">
              <w:rPr>
                <w:i/>
                <w:sz w:val="14"/>
                <w:lang w:val="en-GB"/>
              </w:rPr>
              <w:t>Cost estimates (2026/27)</w:t>
            </w:r>
          </w:p>
        </w:tc>
        <w:tc>
          <w:tcPr>
            <w:tcW w:w="61" w:type="dxa"/>
            <w:tcBorders>
              <w:top w:val="single" w:sz="4" w:space="0" w:color="auto"/>
            </w:tcBorders>
            <w:vAlign w:val="bottom"/>
          </w:tcPr>
          <w:p w14:paraId="6CF8397D" w14:textId="2483E908"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615" w:type="dxa"/>
            <w:gridSpan w:val="2"/>
            <w:tcBorders>
              <w:top w:val="single" w:sz="4" w:space="0" w:color="auto"/>
              <w:bottom w:val="single" w:sz="4" w:space="0" w:color="auto"/>
            </w:tcBorders>
            <w:vAlign w:val="bottom"/>
          </w:tcPr>
          <w:p w14:paraId="09C268F9" w14:textId="738FB111"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B9254C">
              <w:rPr>
                <w:i/>
                <w:sz w:val="14"/>
                <w:lang w:val="en-GB"/>
              </w:rPr>
              <w:t>Variance</w:t>
            </w:r>
          </w:p>
        </w:tc>
      </w:tr>
      <w:tr w:rsidR="00DE7052" w:rsidRPr="00B9254C" w14:paraId="25C94780" w14:textId="77777777" w:rsidTr="005D0B60">
        <w:trPr>
          <w:tblHeader/>
        </w:trPr>
        <w:tc>
          <w:tcPr>
            <w:tcW w:w="2984" w:type="dxa"/>
            <w:vMerge/>
            <w:vAlign w:val="bottom"/>
          </w:tcPr>
          <w:p w14:paraId="32BA902B" w14:textId="6A396F5C" w:rsidR="00DE7052" w:rsidRPr="00B9254C" w:rsidRDefault="00DE7052" w:rsidP="00203135">
            <w:pPr>
              <w:pStyle w:val="SingleTxt"/>
              <w:keepNext/>
              <w:spacing w:before="81" w:after="81" w:line="160" w:lineRule="exact"/>
              <w:ind w:left="0" w:right="40"/>
              <w:rPr>
                <w:i/>
                <w:sz w:val="14"/>
                <w:lang w:val="en-GB"/>
              </w:rPr>
            </w:pPr>
          </w:p>
        </w:tc>
        <w:tc>
          <w:tcPr>
            <w:tcW w:w="1040" w:type="dxa"/>
            <w:vMerge/>
            <w:tcBorders>
              <w:bottom w:val="single" w:sz="4" w:space="0" w:color="auto"/>
            </w:tcBorders>
            <w:vAlign w:val="bottom"/>
          </w:tcPr>
          <w:p w14:paraId="3A398BE1" w14:textId="168220CB"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037" w:type="dxa"/>
            <w:vMerge/>
            <w:tcBorders>
              <w:bottom w:val="single" w:sz="4" w:space="0" w:color="auto"/>
            </w:tcBorders>
            <w:vAlign w:val="bottom"/>
          </w:tcPr>
          <w:p w14:paraId="4CB80171" w14:textId="253099F2"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040" w:type="dxa"/>
            <w:vMerge/>
            <w:tcBorders>
              <w:bottom w:val="single" w:sz="4" w:space="0" w:color="auto"/>
            </w:tcBorders>
            <w:vAlign w:val="bottom"/>
          </w:tcPr>
          <w:p w14:paraId="4A1C2990" w14:textId="14048EE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037" w:type="dxa"/>
            <w:vMerge/>
            <w:tcBorders>
              <w:bottom w:val="single" w:sz="4" w:space="0" w:color="auto"/>
            </w:tcBorders>
            <w:vAlign w:val="bottom"/>
          </w:tcPr>
          <w:p w14:paraId="3573472A" w14:textId="4F31999D"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036" w:type="dxa"/>
            <w:vMerge/>
            <w:tcBorders>
              <w:bottom w:val="single" w:sz="4" w:space="0" w:color="auto"/>
            </w:tcBorders>
            <w:vAlign w:val="bottom"/>
          </w:tcPr>
          <w:p w14:paraId="227DE589" w14:textId="534B4D04"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832" w:type="dxa"/>
            <w:gridSpan w:val="2"/>
            <w:tcBorders>
              <w:bottom w:val="single" w:sz="4" w:space="0" w:color="auto"/>
            </w:tcBorders>
            <w:vAlign w:val="bottom"/>
          </w:tcPr>
          <w:p w14:paraId="52DB72FD"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Amount</w:t>
            </w:r>
          </w:p>
        </w:tc>
        <w:tc>
          <w:tcPr>
            <w:tcW w:w="844" w:type="dxa"/>
            <w:tcBorders>
              <w:bottom w:val="single" w:sz="4" w:space="0" w:color="auto"/>
            </w:tcBorders>
            <w:vAlign w:val="bottom"/>
          </w:tcPr>
          <w:p w14:paraId="47D732EB"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Percentage</w:t>
            </w:r>
          </w:p>
        </w:tc>
      </w:tr>
      <w:tr w:rsidR="00DE7052" w:rsidRPr="00B9254C" w14:paraId="7D6FC15D" w14:textId="77777777" w:rsidTr="005D0B60">
        <w:trPr>
          <w:tblHeader/>
        </w:trPr>
        <w:tc>
          <w:tcPr>
            <w:tcW w:w="2984" w:type="dxa"/>
            <w:vMerge/>
            <w:tcBorders>
              <w:bottom w:val="single" w:sz="12" w:space="0" w:color="auto"/>
            </w:tcBorders>
            <w:vAlign w:val="bottom"/>
          </w:tcPr>
          <w:p w14:paraId="35C8C315" w14:textId="6A92E813"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040" w:type="dxa"/>
            <w:tcBorders>
              <w:top w:val="single" w:sz="4" w:space="0" w:color="auto"/>
              <w:bottom w:val="single" w:sz="12" w:space="0" w:color="auto"/>
            </w:tcBorders>
            <w:vAlign w:val="bottom"/>
          </w:tcPr>
          <w:p w14:paraId="71F0BE57"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(1)</w:t>
            </w:r>
          </w:p>
        </w:tc>
        <w:tc>
          <w:tcPr>
            <w:tcW w:w="1037" w:type="dxa"/>
            <w:tcBorders>
              <w:top w:val="single" w:sz="4" w:space="0" w:color="auto"/>
              <w:bottom w:val="single" w:sz="12" w:space="0" w:color="auto"/>
            </w:tcBorders>
            <w:vAlign w:val="bottom"/>
          </w:tcPr>
          <w:p w14:paraId="3BC2F4E9"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(2)</w:t>
            </w:r>
          </w:p>
        </w:tc>
        <w:tc>
          <w:tcPr>
            <w:tcW w:w="1040" w:type="dxa"/>
            <w:tcBorders>
              <w:top w:val="single" w:sz="4" w:space="0" w:color="auto"/>
              <w:bottom w:val="single" w:sz="12" w:space="0" w:color="auto"/>
            </w:tcBorders>
            <w:vAlign w:val="bottom"/>
          </w:tcPr>
          <w:p w14:paraId="413A584D"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(3)</w:t>
            </w:r>
          </w:p>
        </w:tc>
        <w:tc>
          <w:tcPr>
            <w:tcW w:w="1037" w:type="dxa"/>
            <w:tcBorders>
              <w:top w:val="single" w:sz="4" w:space="0" w:color="auto"/>
              <w:bottom w:val="single" w:sz="12" w:space="0" w:color="auto"/>
            </w:tcBorders>
            <w:vAlign w:val="bottom"/>
          </w:tcPr>
          <w:p w14:paraId="765A4AA6"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(4)</w:t>
            </w:r>
          </w:p>
        </w:tc>
        <w:tc>
          <w:tcPr>
            <w:tcW w:w="1036" w:type="dxa"/>
            <w:tcBorders>
              <w:top w:val="single" w:sz="4" w:space="0" w:color="auto"/>
              <w:bottom w:val="single" w:sz="12" w:space="0" w:color="auto"/>
            </w:tcBorders>
            <w:vAlign w:val="bottom"/>
          </w:tcPr>
          <w:p w14:paraId="00EEC9DB"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(5)</w:t>
            </w:r>
          </w:p>
        </w:tc>
        <w:tc>
          <w:tcPr>
            <w:tcW w:w="832" w:type="dxa"/>
            <w:gridSpan w:val="2"/>
            <w:tcBorders>
              <w:top w:val="single" w:sz="4" w:space="0" w:color="auto"/>
              <w:bottom w:val="single" w:sz="12" w:space="0" w:color="auto"/>
            </w:tcBorders>
            <w:vAlign w:val="bottom"/>
          </w:tcPr>
          <w:p w14:paraId="63C27A4C"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(6)=(5)-(3)</w:t>
            </w:r>
          </w:p>
        </w:tc>
        <w:tc>
          <w:tcPr>
            <w:tcW w:w="844" w:type="dxa"/>
            <w:tcBorders>
              <w:top w:val="single" w:sz="4" w:space="0" w:color="auto"/>
              <w:bottom w:val="single" w:sz="12" w:space="0" w:color="auto"/>
            </w:tcBorders>
            <w:vAlign w:val="bottom"/>
          </w:tcPr>
          <w:p w14:paraId="36DAA81A" w14:textId="77777777" w:rsidR="00DE7052" w:rsidRPr="00B9254C" w:rsidRDefault="00DE7052"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(7)=(6)÷(3)</w:t>
            </w:r>
          </w:p>
        </w:tc>
      </w:tr>
      <w:tr w:rsidR="00697ECA" w:rsidRPr="00B9254C" w14:paraId="4A9F5650" w14:textId="77777777" w:rsidTr="005D0B60">
        <w:trPr>
          <w:trHeight w:hRule="exact" w:val="115"/>
          <w:tblHeader/>
        </w:trPr>
        <w:tc>
          <w:tcPr>
            <w:tcW w:w="2984" w:type="dxa"/>
            <w:tcBorders>
              <w:top w:val="single" w:sz="12" w:space="0" w:color="auto"/>
            </w:tcBorders>
            <w:vAlign w:val="bottom"/>
          </w:tcPr>
          <w:p w14:paraId="17E8C32D"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40" w:type="dxa"/>
            <w:tcBorders>
              <w:top w:val="single" w:sz="12" w:space="0" w:color="auto"/>
            </w:tcBorders>
            <w:vAlign w:val="bottom"/>
          </w:tcPr>
          <w:p w14:paraId="57944D9E"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37" w:type="dxa"/>
            <w:tcBorders>
              <w:top w:val="single" w:sz="12" w:space="0" w:color="auto"/>
            </w:tcBorders>
            <w:vAlign w:val="bottom"/>
          </w:tcPr>
          <w:p w14:paraId="6F72900B"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40" w:type="dxa"/>
            <w:tcBorders>
              <w:top w:val="single" w:sz="12" w:space="0" w:color="auto"/>
            </w:tcBorders>
            <w:vAlign w:val="bottom"/>
          </w:tcPr>
          <w:p w14:paraId="190CFA8C"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37" w:type="dxa"/>
            <w:tcBorders>
              <w:top w:val="single" w:sz="12" w:space="0" w:color="auto"/>
            </w:tcBorders>
            <w:vAlign w:val="bottom"/>
          </w:tcPr>
          <w:p w14:paraId="21F48CC6"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36" w:type="dxa"/>
            <w:tcBorders>
              <w:top w:val="single" w:sz="12" w:space="0" w:color="auto"/>
            </w:tcBorders>
            <w:vAlign w:val="bottom"/>
          </w:tcPr>
          <w:p w14:paraId="3DC95F72"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32" w:type="dxa"/>
            <w:gridSpan w:val="2"/>
            <w:tcBorders>
              <w:top w:val="single" w:sz="12" w:space="0" w:color="auto"/>
            </w:tcBorders>
            <w:vAlign w:val="bottom"/>
          </w:tcPr>
          <w:p w14:paraId="715F783F"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44" w:type="dxa"/>
            <w:tcBorders>
              <w:top w:val="single" w:sz="12" w:space="0" w:color="auto"/>
            </w:tcBorders>
            <w:vAlign w:val="bottom"/>
          </w:tcPr>
          <w:p w14:paraId="7694EEF0"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97ECA" w:rsidRPr="00B9254C" w14:paraId="5EF1147F" w14:textId="77777777" w:rsidTr="005D0B60">
        <w:tc>
          <w:tcPr>
            <w:tcW w:w="2984" w:type="dxa"/>
            <w:vAlign w:val="bottom"/>
          </w:tcPr>
          <w:p w14:paraId="4359F769"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9254C">
              <w:rPr>
                <w:b/>
                <w:bCs/>
                <w:sz w:val="17"/>
                <w:lang w:val="en-GB"/>
              </w:rPr>
              <w:t>Operational costs</w:t>
            </w:r>
          </w:p>
        </w:tc>
        <w:tc>
          <w:tcPr>
            <w:tcW w:w="1040" w:type="dxa"/>
            <w:vAlign w:val="bottom"/>
          </w:tcPr>
          <w:p w14:paraId="6D753CE6"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c>
          <w:tcPr>
            <w:tcW w:w="1037" w:type="dxa"/>
            <w:vAlign w:val="bottom"/>
          </w:tcPr>
          <w:p w14:paraId="45AE47E1"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c>
          <w:tcPr>
            <w:tcW w:w="1040" w:type="dxa"/>
            <w:vAlign w:val="bottom"/>
          </w:tcPr>
          <w:p w14:paraId="4A08542F"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c>
          <w:tcPr>
            <w:tcW w:w="1037" w:type="dxa"/>
            <w:vAlign w:val="bottom"/>
          </w:tcPr>
          <w:p w14:paraId="3C9279EC"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9254C">
              <w:rPr>
                <w:b/>
                <w:bCs/>
                <w:sz w:val="17"/>
                <w:lang w:val="en-GB"/>
              </w:rPr>
              <w:t xml:space="preserve"> </w:t>
            </w:r>
          </w:p>
        </w:tc>
        <w:tc>
          <w:tcPr>
            <w:tcW w:w="1036" w:type="dxa"/>
            <w:vAlign w:val="bottom"/>
          </w:tcPr>
          <w:p w14:paraId="5A5C2D52"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c>
          <w:tcPr>
            <w:tcW w:w="832" w:type="dxa"/>
            <w:gridSpan w:val="2"/>
            <w:vAlign w:val="bottom"/>
          </w:tcPr>
          <w:p w14:paraId="1D4393C9"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c>
          <w:tcPr>
            <w:tcW w:w="844" w:type="dxa"/>
            <w:vAlign w:val="bottom"/>
          </w:tcPr>
          <w:p w14:paraId="44893633" w14:textId="77777777" w:rsidR="00697ECA" w:rsidRPr="00B9254C" w:rsidRDefault="00697ECA" w:rsidP="0020313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p>
        </w:tc>
      </w:tr>
      <w:tr w:rsidR="00697ECA" w:rsidRPr="00B9254C" w14:paraId="7AA23699" w14:textId="77777777" w:rsidTr="005D0B60">
        <w:tc>
          <w:tcPr>
            <w:tcW w:w="2984" w:type="dxa"/>
            <w:vAlign w:val="bottom"/>
          </w:tcPr>
          <w:p w14:paraId="61AC416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Civilian electoral observers</w:t>
            </w:r>
          </w:p>
        </w:tc>
        <w:tc>
          <w:tcPr>
            <w:tcW w:w="1040" w:type="dxa"/>
            <w:vAlign w:val="bottom"/>
          </w:tcPr>
          <w:p w14:paraId="2855CA2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7" w:type="dxa"/>
            <w:vAlign w:val="bottom"/>
          </w:tcPr>
          <w:p w14:paraId="7E39542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40" w:type="dxa"/>
            <w:vAlign w:val="bottom"/>
          </w:tcPr>
          <w:p w14:paraId="785DF3B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7" w:type="dxa"/>
            <w:vAlign w:val="bottom"/>
          </w:tcPr>
          <w:p w14:paraId="475ACF0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6" w:type="dxa"/>
            <w:vAlign w:val="bottom"/>
          </w:tcPr>
          <w:p w14:paraId="01C41D0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832" w:type="dxa"/>
            <w:gridSpan w:val="2"/>
            <w:vAlign w:val="bottom"/>
          </w:tcPr>
          <w:p w14:paraId="5B9A49D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844" w:type="dxa"/>
            <w:vAlign w:val="bottom"/>
          </w:tcPr>
          <w:p w14:paraId="490FB51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r>
      <w:tr w:rsidR="00697ECA" w:rsidRPr="00B9254C" w14:paraId="6D4465EE" w14:textId="77777777" w:rsidTr="005D0B60">
        <w:tc>
          <w:tcPr>
            <w:tcW w:w="2984" w:type="dxa"/>
            <w:vAlign w:val="bottom"/>
          </w:tcPr>
          <w:p w14:paraId="3C157B3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Consultants and consulting services</w:t>
            </w:r>
          </w:p>
        </w:tc>
        <w:tc>
          <w:tcPr>
            <w:tcW w:w="1040" w:type="dxa"/>
            <w:vAlign w:val="bottom"/>
          </w:tcPr>
          <w:p w14:paraId="1F252C6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665.5</w:t>
            </w:r>
          </w:p>
        </w:tc>
        <w:tc>
          <w:tcPr>
            <w:tcW w:w="1037" w:type="dxa"/>
            <w:vAlign w:val="bottom"/>
          </w:tcPr>
          <w:p w14:paraId="7026089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304.9</w:t>
            </w:r>
          </w:p>
        </w:tc>
        <w:tc>
          <w:tcPr>
            <w:tcW w:w="1040" w:type="dxa"/>
            <w:vAlign w:val="bottom"/>
          </w:tcPr>
          <w:p w14:paraId="7E24957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526.0</w:t>
            </w:r>
          </w:p>
        </w:tc>
        <w:tc>
          <w:tcPr>
            <w:tcW w:w="1037" w:type="dxa"/>
            <w:vAlign w:val="bottom"/>
          </w:tcPr>
          <w:p w14:paraId="5C8800B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76.5</w:t>
            </w:r>
          </w:p>
        </w:tc>
        <w:tc>
          <w:tcPr>
            <w:tcW w:w="1036" w:type="dxa"/>
            <w:vAlign w:val="bottom"/>
          </w:tcPr>
          <w:p w14:paraId="6890C67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436.1</w:t>
            </w:r>
          </w:p>
        </w:tc>
        <w:tc>
          <w:tcPr>
            <w:tcW w:w="832" w:type="dxa"/>
            <w:gridSpan w:val="2"/>
            <w:vAlign w:val="bottom"/>
          </w:tcPr>
          <w:p w14:paraId="1519EC5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(89.9)</w:t>
            </w:r>
          </w:p>
        </w:tc>
        <w:tc>
          <w:tcPr>
            <w:tcW w:w="844" w:type="dxa"/>
            <w:vAlign w:val="bottom"/>
          </w:tcPr>
          <w:p w14:paraId="1E8B9E4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(17.1)</w:t>
            </w:r>
          </w:p>
        </w:tc>
      </w:tr>
      <w:tr w:rsidR="00697ECA" w:rsidRPr="00B9254C" w14:paraId="23ACCA3F" w14:textId="77777777" w:rsidTr="005D0B60">
        <w:tc>
          <w:tcPr>
            <w:tcW w:w="2984" w:type="dxa"/>
            <w:vAlign w:val="bottom"/>
          </w:tcPr>
          <w:p w14:paraId="74074E9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Official travel</w:t>
            </w:r>
          </w:p>
        </w:tc>
        <w:tc>
          <w:tcPr>
            <w:tcW w:w="1040" w:type="dxa"/>
            <w:vAlign w:val="bottom"/>
          </w:tcPr>
          <w:p w14:paraId="5760310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3 623.5 </w:t>
            </w:r>
          </w:p>
        </w:tc>
        <w:tc>
          <w:tcPr>
            <w:tcW w:w="1037" w:type="dxa"/>
            <w:vAlign w:val="bottom"/>
          </w:tcPr>
          <w:p w14:paraId="2044EE5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3 265.2</w:t>
            </w:r>
          </w:p>
        </w:tc>
        <w:tc>
          <w:tcPr>
            <w:tcW w:w="1040" w:type="dxa"/>
            <w:vAlign w:val="bottom"/>
          </w:tcPr>
          <w:p w14:paraId="0F779C6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3 597.3</w:t>
            </w:r>
          </w:p>
        </w:tc>
        <w:tc>
          <w:tcPr>
            <w:tcW w:w="1037" w:type="dxa"/>
            <w:vAlign w:val="bottom"/>
          </w:tcPr>
          <w:p w14:paraId="7AB7E25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1 097.1</w:t>
            </w:r>
          </w:p>
        </w:tc>
        <w:tc>
          <w:tcPr>
            <w:tcW w:w="1036" w:type="dxa"/>
            <w:vAlign w:val="bottom"/>
          </w:tcPr>
          <w:p w14:paraId="7B74573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5 196.0</w:t>
            </w:r>
          </w:p>
        </w:tc>
        <w:tc>
          <w:tcPr>
            <w:tcW w:w="832" w:type="dxa"/>
            <w:gridSpan w:val="2"/>
            <w:vAlign w:val="bottom"/>
          </w:tcPr>
          <w:p w14:paraId="39439B6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1 598.7</w:t>
            </w:r>
          </w:p>
        </w:tc>
        <w:tc>
          <w:tcPr>
            <w:tcW w:w="844" w:type="dxa"/>
            <w:vAlign w:val="bottom"/>
          </w:tcPr>
          <w:p w14:paraId="71AD629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44.4</w:t>
            </w:r>
          </w:p>
        </w:tc>
      </w:tr>
      <w:tr w:rsidR="00697ECA" w:rsidRPr="00B9254C" w14:paraId="66AA3F1A" w14:textId="77777777" w:rsidTr="005D0B60">
        <w:tc>
          <w:tcPr>
            <w:tcW w:w="2984" w:type="dxa"/>
            <w:vAlign w:val="bottom"/>
          </w:tcPr>
          <w:p w14:paraId="36D7A92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Facilities and infrastructure</w:t>
            </w:r>
          </w:p>
        </w:tc>
        <w:tc>
          <w:tcPr>
            <w:tcW w:w="1040" w:type="dxa"/>
            <w:vAlign w:val="bottom"/>
          </w:tcPr>
          <w:p w14:paraId="0A80337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77 549.6 </w:t>
            </w:r>
          </w:p>
        </w:tc>
        <w:tc>
          <w:tcPr>
            <w:tcW w:w="1037" w:type="dxa"/>
            <w:vAlign w:val="bottom"/>
          </w:tcPr>
          <w:p w14:paraId="7342A22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76 249.7</w:t>
            </w:r>
          </w:p>
        </w:tc>
        <w:tc>
          <w:tcPr>
            <w:tcW w:w="1040" w:type="dxa"/>
            <w:vAlign w:val="bottom"/>
          </w:tcPr>
          <w:p w14:paraId="5E53E18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78 465.1</w:t>
            </w:r>
          </w:p>
        </w:tc>
        <w:tc>
          <w:tcPr>
            <w:tcW w:w="1037" w:type="dxa"/>
            <w:vAlign w:val="bottom"/>
          </w:tcPr>
          <w:p w14:paraId="52FEC6D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38 714.7</w:t>
            </w:r>
          </w:p>
        </w:tc>
        <w:tc>
          <w:tcPr>
            <w:tcW w:w="1036" w:type="dxa"/>
            <w:vAlign w:val="bottom"/>
          </w:tcPr>
          <w:p w14:paraId="131EE9B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83 314.5</w:t>
            </w:r>
          </w:p>
        </w:tc>
        <w:tc>
          <w:tcPr>
            <w:tcW w:w="832" w:type="dxa"/>
            <w:gridSpan w:val="2"/>
            <w:vAlign w:val="bottom"/>
          </w:tcPr>
          <w:p w14:paraId="23F7FEF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4 849.4</w:t>
            </w:r>
          </w:p>
        </w:tc>
        <w:tc>
          <w:tcPr>
            <w:tcW w:w="844" w:type="dxa"/>
            <w:vAlign w:val="bottom"/>
          </w:tcPr>
          <w:p w14:paraId="7BFE525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6.2</w:t>
            </w:r>
          </w:p>
        </w:tc>
      </w:tr>
      <w:tr w:rsidR="00697ECA" w:rsidRPr="00B9254C" w14:paraId="5ED23734" w14:textId="77777777" w:rsidTr="005D0B60">
        <w:tc>
          <w:tcPr>
            <w:tcW w:w="2984" w:type="dxa"/>
            <w:vAlign w:val="bottom"/>
          </w:tcPr>
          <w:p w14:paraId="2C43C4C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Ground transportation</w:t>
            </w:r>
          </w:p>
        </w:tc>
        <w:tc>
          <w:tcPr>
            <w:tcW w:w="1040" w:type="dxa"/>
            <w:vAlign w:val="bottom"/>
          </w:tcPr>
          <w:p w14:paraId="3EDFE0B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19 616.5 </w:t>
            </w:r>
          </w:p>
        </w:tc>
        <w:tc>
          <w:tcPr>
            <w:tcW w:w="1037" w:type="dxa"/>
            <w:vAlign w:val="bottom"/>
          </w:tcPr>
          <w:p w14:paraId="2DBC22E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19 111.5</w:t>
            </w:r>
          </w:p>
        </w:tc>
        <w:tc>
          <w:tcPr>
            <w:tcW w:w="1040" w:type="dxa"/>
            <w:vAlign w:val="bottom"/>
          </w:tcPr>
          <w:p w14:paraId="25938C4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18 831.5</w:t>
            </w:r>
          </w:p>
        </w:tc>
        <w:tc>
          <w:tcPr>
            <w:tcW w:w="1037" w:type="dxa"/>
            <w:vAlign w:val="bottom"/>
          </w:tcPr>
          <w:p w14:paraId="287A290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12 259.6</w:t>
            </w:r>
          </w:p>
        </w:tc>
        <w:tc>
          <w:tcPr>
            <w:tcW w:w="1036" w:type="dxa"/>
            <w:vAlign w:val="bottom"/>
          </w:tcPr>
          <w:p w14:paraId="7185078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18 505.4</w:t>
            </w:r>
          </w:p>
        </w:tc>
        <w:tc>
          <w:tcPr>
            <w:tcW w:w="832" w:type="dxa"/>
            <w:gridSpan w:val="2"/>
            <w:vAlign w:val="bottom"/>
          </w:tcPr>
          <w:p w14:paraId="177F786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(326.1)</w:t>
            </w:r>
          </w:p>
        </w:tc>
        <w:tc>
          <w:tcPr>
            <w:tcW w:w="844" w:type="dxa"/>
            <w:vAlign w:val="bottom"/>
          </w:tcPr>
          <w:p w14:paraId="103BBD1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(1.7)</w:t>
            </w:r>
          </w:p>
        </w:tc>
      </w:tr>
      <w:tr w:rsidR="00697ECA" w:rsidRPr="00B9254C" w14:paraId="10CD9B2E" w14:textId="77777777" w:rsidTr="005D0B60">
        <w:tc>
          <w:tcPr>
            <w:tcW w:w="2984" w:type="dxa"/>
            <w:vAlign w:val="bottom"/>
          </w:tcPr>
          <w:p w14:paraId="419CBEE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Air operations</w:t>
            </w:r>
          </w:p>
        </w:tc>
        <w:tc>
          <w:tcPr>
            <w:tcW w:w="1040" w:type="dxa"/>
            <w:vAlign w:val="bottom"/>
          </w:tcPr>
          <w:p w14:paraId="355464C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93 746.6 </w:t>
            </w:r>
          </w:p>
        </w:tc>
        <w:tc>
          <w:tcPr>
            <w:tcW w:w="1037" w:type="dxa"/>
            <w:vAlign w:val="bottom"/>
          </w:tcPr>
          <w:p w14:paraId="01AC183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73 919.4</w:t>
            </w:r>
          </w:p>
        </w:tc>
        <w:tc>
          <w:tcPr>
            <w:tcW w:w="1040" w:type="dxa"/>
            <w:vAlign w:val="bottom"/>
          </w:tcPr>
          <w:p w14:paraId="4229C69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85 811.5</w:t>
            </w:r>
          </w:p>
        </w:tc>
        <w:tc>
          <w:tcPr>
            <w:tcW w:w="1037" w:type="dxa"/>
            <w:vAlign w:val="bottom"/>
          </w:tcPr>
          <w:p w14:paraId="57B4ECD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42 880.6</w:t>
            </w:r>
          </w:p>
        </w:tc>
        <w:tc>
          <w:tcPr>
            <w:tcW w:w="1036" w:type="dxa"/>
            <w:vAlign w:val="bottom"/>
          </w:tcPr>
          <w:p w14:paraId="52EFF93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76 904.7</w:t>
            </w:r>
          </w:p>
        </w:tc>
        <w:tc>
          <w:tcPr>
            <w:tcW w:w="832" w:type="dxa"/>
            <w:gridSpan w:val="2"/>
            <w:vAlign w:val="bottom"/>
          </w:tcPr>
          <w:p w14:paraId="5B384A0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(8 906.8)</w:t>
            </w:r>
          </w:p>
        </w:tc>
        <w:tc>
          <w:tcPr>
            <w:tcW w:w="844" w:type="dxa"/>
            <w:vAlign w:val="bottom"/>
          </w:tcPr>
          <w:p w14:paraId="197DF93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(10.4)</w:t>
            </w:r>
          </w:p>
        </w:tc>
      </w:tr>
      <w:tr w:rsidR="00697ECA" w:rsidRPr="00B9254C" w14:paraId="7F8F20FE" w14:textId="77777777" w:rsidTr="005D0B60">
        <w:tc>
          <w:tcPr>
            <w:tcW w:w="2984" w:type="dxa"/>
            <w:vAlign w:val="bottom"/>
          </w:tcPr>
          <w:p w14:paraId="3AC6E70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Marine operations</w:t>
            </w:r>
          </w:p>
        </w:tc>
        <w:tc>
          <w:tcPr>
            <w:tcW w:w="1040" w:type="dxa"/>
            <w:vAlign w:val="bottom"/>
          </w:tcPr>
          <w:p w14:paraId="7B9A2E5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501</w:t>
            </w:r>
          </w:p>
        </w:tc>
        <w:tc>
          <w:tcPr>
            <w:tcW w:w="1037" w:type="dxa"/>
            <w:vAlign w:val="bottom"/>
          </w:tcPr>
          <w:p w14:paraId="64F1ADC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1 066.2</w:t>
            </w:r>
          </w:p>
        </w:tc>
        <w:tc>
          <w:tcPr>
            <w:tcW w:w="1040" w:type="dxa"/>
            <w:vAlign w:val="bottom"/>
          </w:tcPr>
          <w:p w14:paraId="26A49F3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501.0</w:t>
            </w:r>
          </w:p>
        </w:tc>
        <w:tc>
          <w:tcPr>
            <w:tcW w:w="1037" w:type="dxa"/>
            <w:vAlign w:val="bottom"/>
          </w:tcPr>
          <w:p w14:paraId="147C8E0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117.6</w:t>
            </w:r>
          </w:p>
        </w:tc>
        <w:tc>
          <w:tcPr>
            <w:tcW w:w="1036" w:type="dxa"/>
            <w:vAlign w:val="bottom"/>
          </w:tcPr>
          <w:p w14:paraId="0961208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501.0</w:t>
            </w:r>
          </w:p>
        </w:tc>
        <w:tc>
          <w:tcPr>
            <w:tcW w:w="832" w:type="dxa"/>
            <w:gridSpan w:val="2"/>
            <w:vAlign w:val="bottom"/>
          </w:tcPr>
          <w:p w14:paraId="6E296BD3" w14:textId="0F85BD61"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844" w:type="dxa"/>
            <w:vAlign w:val="bottom"/>
          </w:tcPr>
          <w:p w14:paraId="461A71DE" w14:textId="3C674251"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r>
      <w:tr w:rsidR="00697ECA" w:rsidRPr="00B9254C" w14:paraId="2BF89946" w14:textId="77777777" w:rsidTr="005D0B60">
        <w:tc>
          <w:tcPr>
            <w:tcW w:w="2984" w:type="dxa"/>
            <w:vAlign w:val="bottom"/>
          </w:tcPr>
          <w:p w14:paraId="30F1BE3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9254C">
              <w:rPr>
                <w:sz w:val="17"/>
                <w:lang w:val="en-GB"/>
              </w:rPr>
              <w:t>Communications and information technology</w:t>
            </w:r>
          </w:p>
        </w:tc>
        <w:tc>
          <w:tcPr>
            <w:tcW w:w="1040" w:type="dxa"/>
            <w:vAlign w:val="bottom"/>
          </w:tcPr>
          <w:p w14:paraId="451A127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39 700.8 </w:t>
            </w:r>
          </w:p>
        </w:tc>
        <w:tc>
          <w:tcPr>
            <w:tcW w:w="1037" w:type="dxa"/>
            <w:vAlign w:val="bottom"/>
          </w:tcPr>
          <w:p w14:paraId="1443A06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34 034.2</w:t>
            </w:r>
          </w:p>
        </w:tc>
        <w:tc>
          <w:tcPr>
            <w:tcW w:w="1040" w:type="dxa"/>
            <w:vAlign w:val="bottom"/>
          </w:tcPr>
          <w:p w14:paraId="016D26E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39 700.8</w:t>
            </w:r>
          </w:p>
        </w:tc>
        <w:tc>
          <w:tcPr>
            <w:tcW w:w="1037" w:type="dxa"/>
            <w:vAlign w:val="bottom"/>
          </w:tcPr>
          <w:p w14:paraId="53790D3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17 350.2</w:t>
            </w:r>
          </w:p>
        </w:tc>
        <w:tc>
          <w:tcPr>
            <w:tcW w:w="1036" w:type="dxa"/>
            <w:vAlign w:val="bottom"/>
          </w:tcPr>
          <w:p w14:paraId="65FD709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38 058.9</w:t>
            </w:r>
          </w:p>
        </w:tc>
        <w:tc>
          <w:tcPr>
            <w:tcW w:w="832" w:type="dxa"/>
            <w:gridSpan w:val="2"/>
            <w:vAlign w:val="bottom"/>
          </w:tcPr>
          <w:p w14:paraId="46D451B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(1 641.9)</w:t>
            </w:r>
          </w:p>
        </w:tc>
        <w:tc>
          <w:tcPr>
            <w:tcW w:w="844" w:type="dxa"/>
            <w:vAlign w:val="bottom"/>
          </w:tcPr>
          <w:p w14:paraId="5A4F36D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(4.1)</w:t>
            </w:r>
          </w:p>
        </w:tc>
      </w:tr>
      <w:tr w:rsidR="00697ECA" w:rsidRPr="00B9254C" w14:paraId="4B733EA0" w14:textId="77777777" w:rsidTr="005D0B60">
        <w:tc>
          <w:tcPr>
            <w:tcW w:w="2984" w:type="dxa"/>
            <w:vAlign w:val="bottom"/>
          </w:tcPr>
          <w:p w14:paraId="7B1CD5D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Medical</w:t>
            </w:r>
          </w:p>
        </w:tc>
        <w:tc>
          <w:tcPr>
            <w:tcW w:w="1040" w:type="dxa"/>
            <w:vAlign w:val="bottom"/>
          </w:tcPr>
          <w:p w14:paraId="1C456B69"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2 048.9 </w:t>
            </w:r>
          </w:p>
        </w:tc>
        <w:tc>
          <w:tcPr>
            <w:tcW w:w="1037" w:type="dxa"/>
            <w:vAlign w:val="bottom"/>
          </w:tcPr>
          <w:p w14:paraId="2E3652D1"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1 419.6</w:t>
            </w:r>
          </w:p>
        </w:tc>
        <w:tc>
          <w:tcPr>
            <w:tcW w:w="1040" w:type="dxa"/>
            <w:vAlign w:val="bottom"/>
          </w:tcPr>
          <w:p w14:paraId="7513F430"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2 555.2</w:t>
            </w:r>
          </w:p>
        </w:tc>
        <w:tc>
          <w:tcPr>
            <w:tcW w:w="1037" w:type="dxa"/>
            <w:vAlign w:val="bottom"/>
          </w:tcPr>
          <w:p w14:paraId="198BD498"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641.4</w:t>
            </w:r>
          </w:p>
        </w:tc>
        <w:tc>
          <w:tcPr>
            <w:tcW w:w="1036" w:type="dxa"/>
            <w:vAlign w:val="bottom"/>
          </w:tcPr>
          <w:p w14:paraId="2467882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2 521.5</w:t>
            </w:r>
          </w:p>
        </w:tc>
        <w:tc>
          <w:tcPr>
            <w:tcW w:w="832" w:type="dxa"/>
            <w:gridSpan w:val="2"/>
            <w:vAlign w:val="bottom"/>
          </w:tcPr>
          <w:p w14:paraId="32DE740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(33.7)</w:t>
            </w:r>
          </w:p>
        </w:tc>
        <w:tc>
          <w:tcPr>
            <w:tcW w:w="844" w:type="dxa"/>
            <w:vAlign w:val="bottom"/>
          </w:tcPr>
          <w:p w14:paraId="1B168EDC"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(1.3)</w:t>
            </w:r>
          </w:p>
        </w:tc>
      </w:tr>
      <w:tr w:rsidR="00697ECA" w:rsidRPr="00B9254C" w14:paraId="575745E4" w14:textId="77777777" w:rsidTr="005D0B60">
        <w:tc>
          <w:tcPr>
            <w:tcW w:w="2984" w:type="dxa"/>
            <w:vAlign w:val="bottom"/>
          </w:tcPr>
          <w:p w14:paraId="1F365C8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9254C">
              <w:rPr>
                <w:sz w:val="17"/>
                <w:lang w:val="en-GB"/>
              </w:rPr>
              <w:t>Special equipment</w:t>
            </w:r>
          </w:p>
        </w:tc>
        <w:tc>
          <w:tcPr>
            <w:tcW w:w="1040" w:type="dxa"/>
            <w:vAlign w:val="bottom"/>
          </w:tcPr>
          <w:p w14:paraId="0387E60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7" w:type="dxa"/>
            <w:vAlign w:val="bottom"/>
          </w:tcPr>
          <w:p w14:paraId="0F8F9B18" w14:textId="30DA02C5"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40" w:type="dxa"/>
            <w:vAlign w:val="bottom"/>
          </w:tcPr>
          <w:p w14:paraId="133D9C52" w14:textId="0E019652"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7" w:type="dxa"/>
            <w:vAlign w:val="bottom"/>
          </w:tcPr>
          <w:p w14:paraId="3DA2BCE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1036" w:type="dxa"/>
            <w:vAlign w:val="bottom"/>
          </w:tcPr>
          <w:p w14:paraId="2735857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832" w:type="dxa"/>
            <w:gridSpan w:val="2"/>
            <w:vAlign w:val="bottom"/>
          </w:tcPr>
          <w:p w14:paraId="4B4F069E" w14:textId="406D5214"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c>
          <w:tcPr>
            <w:tcW w:w="844" w:type="dxa"/>
            <w:vAlign w:val="bottom"/>
          </w:tcPr>
          <w:p w14:paraId="31BDBF0E" w14:textId="435C94FF"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w:t>
            </w:r>
          </w:p>
        </w:tc>
      </w:tr>
      <w:tr w:rsidR="00697ECA" w:rsidRPr="00B9254C" w14:paraId="25FA2AF0" w14:textId="77777777" w:rsidTr="005D0B60">
        <w:tc>
          <w:tcPr>
            <w:tcW w:w="2984" w:type="dxa"/>
            <w:vAlign w:val="bottom"/>
          </w:tcPr>
          <w:p w14:paraId="4A211272"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9254C">
              <w:rPr>
                <w:sz w:val="17"/>
                <w:lang w:val="en-GB"/>
              </w:rPr>
              <w:t>Other supplies, services and equipment</w:t>
            </w:r>
          </w:p>
        </w:tc>
        <w:tc>
          <w:tcPr>
            <w:tcW w:w="1040" w:type="dxa"/>
            <w:vAlign w:val="bottom"/>
          </w:tcPr>
          <w:p w14:paraId="71CD785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 xml:space="preserve">51 364.5 </w:t>
            </w:r>
          </w:p>
        </w:tc>
        <w:tc>
          <w:tcPr>
            <w:tcW w:w="1037" w:type="dxa"/>
            <w:vAlign w:val="bottom"/>
          </w:tcPr>
          <w:p w14:paraId="728F05D6" w14:textId="37EF3965"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54 755.8</w:t>
            </w:r>
          </w:p>
        </w:tc>
        <w:tc>
          <w:tcPr>
            <w:tcW w:w="1040" w:type="dxa"/>
            <w:vAlign w:val="bottom"/>
          </w:tcPr>
          <w:p w14:paraId="73DFC75E" w14:textId="6F79AF5B"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48 401.3</w:t>
            </w:r>
          </w:p>
        </w:tc>
        <w:tc>
          <w:tcPr>
            <w:tcW w:w="1037" w:type="dxa"/>
            <w:vAlign w:val="bottom"/>
          </w:tcPr>
          <w:p w14:paraId="6AF05F40" w14:textId="2A4923D5"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29 755.1</w:t>
            </w:r>
          </w:p>
        </w:tc>
        <w:tc>
          <w:tcPr>
            <w:tcW w:w="1036" w:type="dxa"/>
            <w:vAlign w:val="bottom"/>
          </w:tcPr>
          <w:p w14:paraId="22830F11" w14:textId="52F059E6"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53 268.6</w:t>
            </w:r>
          </w:p>
        </w:tc>
        <w:tc>
          <w:tcPr>
            <w:tcW w:w="832" w:type="dxa"/>
            <w:gridSpan w:val="2"/>
            <w:vAlign w:val="bottom"/>
          </w:tcPr>
          <w:p w14:paraId="18E5B98C" w14:textId="69B5BD3F"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4 867.3</w:t>
            </w:r>
          </w:p>
        </w:tc>
        <w:tc>
          <w:tcPr>
            <w:tcW w:w="844" w:type="dxa"/>
            <w:vAlign w:val="bottom"/>
          </w:tcPr>
          <w:p w14:paraId="400BF671" w14:textId="7C29FAEA"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9254C">
              <w:rPr>
                <w:sz w:val="17"/>
                <w:lang w:val="en-GB"/>
              </w:rPr>
              <w:t>10.1</w:t>
            </w:r>
          </w:p>
        </w:tc>
      </w:tr>
      <w:tr w:rsidR="00697ECA" w:rsidRPr="00B9254C" w14:paraId="5F1CF129" w14:textId="77777777" w:rsidTr="005D0B60">
        <w:tc>
          <w:tcPr>
            <w:tcW w:w="2984" w:type="dxa"/>
            <w:tcBorders>
              <w:bottom w:val="single" w:sz="4" w:space="0" w:color="auto"/>
            </w:tcBorders>
            <w:vAlign w:val="bottom"/>
          </w:tcPr>
          <w:p w14:paraId="72091D7A"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B9254C">
              <w:rPr>
                <w:sz w:val="17"/>
                <w:lang w:val="en-GB"/>
              </w:rPr>
              <w:t>Quick-impact projects</w:t>
            </w:r>
          </w:p>
        </w:tc>
        <w:tc>
          <w:tcPr>
            <w:tcW w:w="1040" w:type="dxa"/>
            <w:tcBorders>
              <w:bottom w:val="single" w:sz="4" w:space="0" w:color="auto"/>
            </w:tcBorders>
            <w:vAlign w:val="bottom"/>
          </w:tcPr>
          <w:p w14:paraId="62BCD5D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 xml:space="preserve">4 000.0 </w:t>
            </w:r>
          </w:p>
        </w:tc>
        <w:tc>
          <w:tcPr>
            <w:tcW w:w="1037" w:type="dxa"/>
            <w:tcBorders>
              <w:bottom w:val="single" w:sz="4" w:space="0" w:color="auto"/>
            </w:tcBorders>
            <w:vAlign w:val="bottom"/>
          </w:tcPr>
          <w:p w14:paraId="01658BE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3 580.4</w:t>
            </w:r>
          </w:p>
        </w:tc>
        <w:tc>
          <w:tcPr>
            <w:tcW w:w="1040" w:type="dxa"/>
            <w:tcBorders>
              <w:bottom w:val="single" w:sz="4" w:space="0" w:color="auto"/>
            </w:tcBorders>
            <w:vAlign w:val="bottom"/>
          </w:tcPr>
          <w:p w14:paraId="2FB5DA9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4 000.0</w:t>
            </w:r>
          </w:p>
        </w:tc>
        <w:tc>
          <w:tcPr>
            <w:tcW w:w="1037" w:type="dxa"/>
            <w:tcBorders>
              <w:bottom w:val="single" w:sz="4" w:space="0" w:color="auto"/>
            </w:tcBorders>
            <w:vAlign w:val="bottom"/>
          </w:tcPr>
          <w:p w14:paraId="6E9098D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2 375.5</w:t>
            </w:r>
          </w:p>
        </w:tc>
        <w:tc>
          <w:tcPr>
            <w:tcW w:w="1036" w:type="dxa"/>
            <w:tcBorders>
              <w:bottom w:val="single" w:sz="4" w:space="0" w:color="auto"/>
            </w:tcBorders>
            <w:vAlign w:val="bottom"/>
          </w:tcPr>
          <w:p w14:paraId="3C456E34"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4 000.0</w:t>
            </w:r>
          </w:p>
        </w:tc>
        <w:tc>
          <w:tcPr>
            <w:tcW w:w="832" w:type="dxa"/>
            <w:gridSpan w:val="2"/>
            <w:tcBorders>
              <w:bottom w:val="single" w:sz="4" w:space="0" w:color="auto"/>
            </w:tcBorders>
            <w:vAlign w:val="bottom"/>
          </w:tcPr>
          <w:p w14:paraId="4EA19230" w14:textId="6E6E2FED"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w:t>
            </w:r>
          </w:p>
        </w:tc>
        <w:tc>
          <w:tcPr>
            <w:tcW w:w="844" w:type="dxa"/>
            <w:tcBorders>
              <w:bottom w:val="single" w:sz="4" w:space="0" w:color="auto"/>
            </w:tcBorders>
            <w:vAlign w:val="bottom"/>
          </w:tcPr>
          <w:p w14:paraId="2772185A" w14:textId="4B69CF08"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B9254C">
              <w:rPr>
                <w:sz w:val="17"/>
                <w:lang w:val="en-GB"/>
              </w:rPr>
              <w:t>–</w:t>
            </w:r>
          </w:p>
        </w:tc>
      </w:tr>
      <w:tr w:rsidR="00697ECA" w:rsidRPr="00B9254C" w14:paraId="56A33F4B" w14:textId="77777777" w:rsidTr="005D0B60">
        <w:tc>
          <w:tcPr>
            <w:tcW w:w="2984" w:type="dxa"/>
            <w:tcBorders>
              <w:top w:val="single" w:sz="4" w:space="0" w:color="auto"/>
              <w:bottom w:val="single" w:sz="12" w:space="0" w:color="auto"/>
            </w:tcBorders>
            <w:vAlign w:val="bottom"/>
          </w:tcPr>
          <w:p w14:paraId="745CA222" w14:textId="718BEBD3"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B9254C">
              <w:rPr>
                <w:b/>
                <w:sz w:val="17"/>
                <w:lang w:val="en-GB"/>
              </w:rPr>
              <w:tab/>
              <w:t>Total</w:t>
            </w:r>
          </w:p>
        </w:tc>
        <w:tc>
          <w:tcPr>
            <w:tcW w:w="1040" w:type="dxa"/>
            <w:tcBorders>
              <w:top w:val="single" w:sz="4" w:space="0" w:color="auto"/>
              <w:bottom w:val="single" w:sz="12" w:space="0" w:color="auto"/>
            </w:tcBorders>
            <w:vAlign w:val="bottom"/>
          </w:tcPr>
          <w:p w14:paraId="20C4F64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 xml:space="preserve">292 816.9 </w:t>
            </w:r>
          </w:p>
        </w:tc>
        <w:tc>
          <w:tcPr>
            <w:tcW w:w="1037" w:type="dxa"/>
            <w:tcBorders>
              <w:top w:val="single" w:sz="4" w:space="0" w:color="auto"/>
              <w:bottom w:val="single" w:sz="12" w:space="0" w:color="auto"/>
            </w:tcBorders>
            <w:vAlign w:val="bottom"/>
          </w:tcPr>
          <w:p w14:paraId="3F29BCD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267 706.9</w:t>
            </w:r>
          </w:p>
        </w:tc>
        <w:tc>
          <w:tcPr>
            <w:tcW w:w="1040" w:type="dxa"/>
            <w:tcBorders>
              <w:top w:val="single" w:sz="4" w:space="0" w:color="auto"/>
              <w:bottom w:val="single" w:sz="12" w:space="0" w:color="auto"/>
            </w:tcBorders>
            <w:vAlign w:val="bottom"/>
          </w:tcPr>
          <w:p w14:paraId="3F3F62C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282 389.7</w:t>
            </w:r>
          </w:p>
        </w:tc>
        <w:tc>
          <w:tcPr>
            <w:tcW w:w="1037" w:type="dxa"/>
            <w:tcBorders>
              <w:top w:val="single" w:sz="4" w:space="0" w:color="auto"/>
              <w:bottom w:val="single" w:sz="12" w:space="0" w:color="auto"/>
            </w:tcBorders>
            <w:vAlign w:val="bottom"/>
          </w:tcPr>
          <w:p w14:paraId="7DBCFC66"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145 268.3</w:t>
            </w:r>
          </w:p>
        </w:tc>
        <w:tc>
          <w:tcPr>
            <w:tcW w:w="1036" w:type="dxa"/>
            <w:tcBorders>
              <w:top w:val="single" w:sz="4" w:space="0" w:color="auto"/>
              <w:bottom w:val="single" w:sz="12" w:space="0" w:color="auto"/>
            </w:tcBorders>
            <w:vAlign w:val="bottom"/>
          </w:tcPr>
          <w:p w14:paraId="562BD747"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282 706.7</w:t>
            </w:r>
          </w:p>
        </w:tc>
        <w:tc>
          <w:tcPr>
            <w:tcW w:w="832" w:type="dxa"/>
            <w:gridSpan w:val="2"/>
            <w:tcBorders>
              <w:top w:val="single" w:sz="4" w:space="0" w:color="auto"/>
              <w:bottom w:val="single" w:sz="12" w:space="0" w:color="auto"/>
            </w:tcBorders>
            <w:vAlign w:val="bottom"/>
          </w:tcPr>
          <w:p w14:paraId="6AEEB34E"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317.0</w:t>
            </w:r>
          </w:p>
        </w:tc>
        <w:tc>
          <w:tcPr>
            <w:tcW w:w="844" w:type="dxa"/>
            <w:tcBorders>
              <w:top w:val="single" w:sz="4" w:space="0" w:color="auto"/>
              <w:bottom w:val="single" w:sz="12" w:space="0" w:color="auto"/>
            </w:tcBorders>
            <w:vAlign w:val="bottom"/>
          </w:tcPr>
          <w:p w14:paraId="6261A27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B9254C">
              <w:rPr>
                <w:b/>
                <w:sz w:val="17"/>
                <w:lang w:val="en-GB"/>
              </w:rPr>
              <w:t>0.1</w:t>
            </w:r>
          </w:p>
        </w:tc>
      </w:tr>
    </w:tbl>
    <w:p w14:paraId="71C0DBE5" w14:textId="77777777" w:rsidR="00D87DC9" w:rsidRPr="00B9254C" w:rsidRDefault="00D87DC9" w:rsidP="00697ECA">
      <w:pPr>
        <w:pStyle w:val="SingleTxt"/>
        <w:spacing w:after="0" w:line="120" w:lineRule="exact"/>
        <w:rPr>
          <w:sz w:val="10"/>
          <w:lang w:val="en-GB"/>
        </w:rPr>
      </w:pPr>
    </w:p>
    <w:p w14:paraId="3AEE1989" w14:textId="77777777" w:rsidR="00697ECA" w:rsidRPr="00B9254C" w:rsidRDefault="00697ECA" w:rsidP="00697ECA">
      <w:pPr>
        <w:pStyle w:val="SingleTxt"/>
        <w:spacing w:after="0" w:line="120" w:lineRule="exact"/>
        <w:rPr>
          <w:sz w:val="10"/>
          <w:lang w:val="en-GB"/>
        </w:rPr>
      </w:pPr>
    </w:p>
    <w:p w14:paraId="0EC0E3FE" w14:textId="5EEA1ACC" w:rsidR="00D87DC9" w:rsidRPr="00B9254C" w:rsidRDefault="00D87DC9" w:rsidP="00D87DC9">
      <w:pPr>
        <w:pStyle w:val="SingleTxt"/>
        <w:rPr>
          <w:lang w:val="en-GB"/>
        </w:rPr>
      </w:pPr>
      <w:r w:rsidRPr="00B9254C">
        <w:rPr>
          <w:lang w:val="en-GB"/>
        </w:rPr>
        <w:t>41.</w:t>
      </w:r>
      <w:r w:rsidRPr="00B9254C">
        <w:rPr>
          <w:lang w:val="en-GB"/>
        </w:rPr>
        <w:tab/>
        <w:t>The proposed resources for operational costs for 2026/27 amount to $282,706,700, reflecting an increase of $317,000, or 0.1 per cent, compared with the approved level of $282,389,700 for 2025/26. The increase reflects higher requirements under official travel, facilities and infrastructure, and other supplies, services and equipment, offset in part by lower requirements under consultants and consultancy services, ground transportation, air operations, communications and information technology, and medical, and unchanged requirements under marine operations and quick-impact projects (</w:t>
      </w:r>
      <w:hyperlink r:id="rId42" w:history="1">
        <w:r w:rsidRPr="00B9254C">
          <w:rPr>
            <w:rStyle w:val="Hyperlink"/>
            <w:lang w:val="en-GB"/>
          </w:rPr>
          <w:t>A/80/623</w:t>
        </w:r>
      </w:hyperlink>
      <w:r w:rsidRPr="00B9254C">
        <w:rPr>
          <w:lang w:val="en-GB"/>
        </w:rPr>
        <w:t xml:space="preserve">, sects. II and III). </w:t>
      </w:r>
      <w:r w:rsidRPr="00B9254C">
        <w:rPr>
          <w:b/>
          <w:bCs/>
          <w:lang w:val="en-GB"/>
        </w:rPr>
        <w:t>The Advisory Committee notes that the proposed requirements under operational costs (group</w:t>
      </w:r>
      <w:r w:rsidR="00572DE6" w:rsidRPr="00B9254C">
        <w:rPr>
          <w:b/>
          <w:bCs/>
          <w:lang w:val="en-GB"/>
        </w:rPr>
        <w:t> </w:t>
      </w:r>
      <w:r w:rsidRPr="00B9254C">
        <w:rPr>
          <w:b/>
          <w:bCs/>
          <w:lang w:val="en-GB"/>
        </w:rPr>
        <w:t>III) are at near-maintenance level, with an increase of 0.1 per cent, while the requirements under military and police personnel (group I) are proposed to decrease by 21.3 per cent, and under civilian personnel by 6.9 per cent. The Committee trusts that further justification on the need to sustain operational costs despite a reduced footprint and operations will be provided to the General Assembly at the time of its consideration of the present report. The Committee further trusts that a clearer presentation of proposed resources under operational costs that are one-time expenditures related to the closure of field locations as part of consolidation and reconfiguration will be provided to the Assembly at the time of its consideration of the present report, and will be clearly highlighted as adjustments in the next proposed budget.</w:t>
      </w:r>
      <w:r w:rsidRPr="00B9254C">
        <w:rPr>
          <w:lang w:val="en-GB"/>
        </w:rPr>
        <w:t xml:space="preserve"> </w:t>
      </w:r>
    </w:p>
    <w:p w14:paraId="18F74E3C" w14:textId="77777777" w:rsidR="00D87DC9" w:rsidRPr="00B9254C" w:rsidRDefault="00D87DC9" w:rsidP="00697ECA">
      <w:pPr>
        <w:pStyle w:val="SingleTxt"/>
        <w:spacing w:after="0" w:line="120" w:lineRule="exact"/>
        <w:rPr>
          <w:sz w:val="10"/>
          <w:lang w:val="en-GB"/>
        </w:rPr>
      </w:pPr>
    </w:p>
    <w:p w14:paraId="628107CC" w14:textId="599407F9"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Consultants and consultancy services</w:t>
      </w:r>
    </w:p>
    <w:p w14:paraId="0B14F933" w14:textId="77777777" w:rsidR="00D87DC9" w:rsidRPr="00B9254C" w:rsidRDefault="00D87DC9" w:rsidP="00697ECA">
      <w:pPr>
        <w:pStyle w:val="SingleTxt"/>
        <w:spacing w:after="0" w:line="120" w:lineRule="exact"/>
        <w:rPr>
          <w:sz w:val="10"/>
          <w:lang w:val="en-GB"/>
        </w:rPr>
      </w:pPr>
    </w:p>
    <w:p w14:paraId="3EA8D612" w14:textId="77777777" w:rsidR="00D87DC9" w:rsidRPr="00B9254C" w:rsidRDefault="00D87DC9" w:rsidP="00D87DC9">
      <w:pPr>
        <w:pStyle w:val="SingleTxt"/>
        <w:rPr>
          <w:lang w:val="en-GB"/>
        </w:rPr>
      </w:pPr>
      <w:r w:rsidRPr="00B9254C">
        <w:rPr>
          <w:lang w:val="en-GB"/>
        </w:rPr>
        <w:t>42.</w:t>
      </w:r>
      <w:r w:rsidRPr="00B9254C">
        <w:rPr>
          <w:lang w:val="en-GB"/>
        </w:rPr>
        <w:tab/>
        <w:t xml:space="preserve">The proposed resources for consultants and consulting services amount to $436,100 for 2026/27, representing a decrease of $89,900, or 17.1 per cent, compared with the approved level of $526,000 for 2025/26. Expenditure amounted to $304,900 for 2024/25 and $327,700 for 2023/24 against appropriations of $665,500 and $690,100 respectively. Upon enquiry, the Advisory Committee was informed that MINUSCA has prioritized the use of internal capacity, including through the redeployment of existing staff resources across components, inter-mission expertise-sharing arrangements, short-term deployments through established rosters, and temporary task-team structures drawing on existing staff capacities. </w:t>
      </w:r>
      <w:r w:rsidRPr="00B9254C">
        <w:rPr>
          <w:b/>
          <w:bCs/>
          <w:lang w:val="en-GB"/>
        </w:rPr>
        <w:t>The Advisory Committee notes the utilization of MINUSCA in-house capacity in lieu of external consultancies. Taking into account the recent pattern and level of expenditure and in support of the efficiency measures of the UN80 Initiative, the Committee recommends a reduction of 10 per cent ($43,600) to the proposed resources for consultants and consulting services.</w:t>
      </w:r>
      <w:r w:rsidRPr="00B9254C">
        <w:rPr>
          <w:lang w:val="en-GB"/>
        </w:rPr>
        <w:t xml:space="preserve"> </w:t>
      </w:r>
    </w:p>
    <w:p w14:paraId="2FE22F4A" w14:textId="77777777" w:rsidR="0064071A" w:rsidRPr="00B9254C" w:rsidRDefault="0064071A" w:rsidP="0064071A">
      <w:pPr>
        <w:pStyle w:val="SingleTxt"/>
        <w:spacing w:after="0" w:line="120" w:lineRule="exact"/>
        <w:rPr>
          <w:sz w:val="10"/>
          <w:lang w:val="en-GB"/>
        </w:rPr>
      </w:pPr>
    </w:p>
    <w:p w14:paraId="3FBE4C6E" w14:textId="67C99835"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Official travel</w:t>
      </w:r>
    </w:p>
    <w:p w14:paraId="0286ED4F" w14:textId="77777777" w:rsidR="00D87DC9" w:rsidRPr="00B9254C" w:rsidRDefault="00D87DC9" w:rsidP="00697ECA">
      <w:pPr>
        <w:pStyle w:val="SingleTxt"/>
        <w:spacing w:after="0" w:line="120" w:lineRule="exact"/>
        <w:rPr>
          <w:sz w:val="10"/>
          <w:lang w:val="en-GB"/>
        </w:rPr>
      </w:pPr>
    </w:p>
    <w:p w14:paraId="02BEEE66" w14:textId="3984E3CC" w:rsidR="00D87DC9" w:rsidRPr="00B9254C" w:rsidRDefault="00D87DC9" w:rsidP="003046F9">
      <w:pPr>
        <w:pStyle w:val="SingleTxt"/>
        <w:rPr>
          <w:lang w:val="en-GB"/>
        </w:rPr>
      </w:pPr>
      <w:r w:rsidRPr="00B9254C">
        <w:rPr>
          <w:lang w:val="en-GB"/>
        </w:rPr>
        <w:t>43.</w:t>
      </w:r>
      <w:r w:rsidRPr="00B9254C">
        <w:rPr>
          <w:lang w:val="en-GB"/>
        </w:rPr>
        <w:tab/>
        <w:t>The proposed resources for official travel amount to $ 5,196,000 for 2026/27, representing an increase of $1,598,700, or 44.4 per cent, compared with the approved level of $3,597,300 for 2025/26. Expenditure amounted to $3,265,200 for 2024/25 and to $3,559,600 for 2023/24 against appropriations in the amount of $3,623.500 and $3,440,900, respectively. The Committee notes that the proposal includes $3,493,859 for within-mission travel, or an increase of $1,240,452 (or 55 per cent); and an amount of $1,303,972 for travel outside the mission area, or an increase of $526,400 (or 67.7 per cent) compared with the 2024/25 appropriation.</w:t>
      </w:r>
    </w:p>
    <w:p w14:paraId="49A8D43D" w14:textId="5F9986D6" w:rsidR="00D87DC9" w:rsidRPr="00B9254C" w:rsidRDefault="00D87DC9" w:rsidP="003046F9">
      <w:pPr>
        <w:pStyle w:val="SingleTxt"/>
        <w:rPr>
          <w:lang w:val="en-GB"/>
        </w:rPr>
      </w:pPr>
      <w:r w:rsidRPr="00B9254C">
        <w:rPr>
          <w:lang w:val="en-GB"/>
        </w:rPr>
        <w:t>44.</w:t>
      </w:r>
      <w:r w:rsidRPr="00B9254C">
        <w:rPr>
          <w:lang w:val="en-GB"/>
        </w:rPr>
        <w:tab/>
        <w:t xml:space="preserve">The report indicates that the increased requirements under official travel are attributable primarily to additional travel planned to support the transport and delivery of significant quantities of equipment and supplies from field locations scheduled for closure as part of the consolidation and reconfiguration of MINUSCA in the post-election context. </w:t>
      </w:r>
      <w:r w:rsidRPr="00B9254C">
        <w:rPr>
          <w:b/>
          <w:bCs/>
          <w:lang w:val="en-GB"/>
        </w:rPr>
        <w:t>The Advisory Committee trusts that more detailed information on official travel one-time costs related to consolidation and configuration will be provided to the General Assembly at the time of its consideration of the present report and will be adjusted in the next budget submission (see also para. 15 above).</w:t>
      </w:r>
    </w:p>
    <w:p w14:paraId="6CE2F39C" w14:textId="2C8EC850" w:rsidR="00D87DC9" w:rsidRPr="00B9254C" w:rsidRDefault="00D87DC9" w:rsidP="00D87DC9">
      <w:pPr>
        <w:pStyle w:val="SingleTxt"/>
        <w:rPr>
          <w:lang w:val="en-GB"/>
        </w:rPr>
      </w:pPr>
      <w:r w:rsidRPr="00B9254C">
        <w:rPr>
          <w:lang w:val="en-GB"/>
        </w:rPr>
        <w:t>45.</w:t>
      </w:r>
      <w:r w:rsidRPr="00B9254C">
        <w:rPr>
          <w:lang w:val="en-GB"/>
        </w:rPr>
        <w:tab/>
        <w:t>Upon enquiry, the Advisory Committee was informed that the proposed resources for official travel outside the mission area was primarily attributable to expanded operational and compliance-related activities across multiple components. The Committee was also informed that average trip costs have increased as a result of increased airfares and related travel costs, while the number of trips has increased by only 3.9 per cent. From supplementary information provided to it, the Committee notes that, while some internal professional workshops, conferences, meetings and seminars seem to be budgeted as economy travel, in accordance with the administrative instruction on official travel (</w:t>
      </w:r>
      <w:hyperlink r:id="rId43" w:history="1">
        <w:r w:rsidRPr="00B9254C">
          <w:rPr>
            <w:rStyle w:val="Hyperlink"/>
            <w:lang w:val="en-GB"/>
          </w:rPr>
          <w:t>ST/AI/2013/3</w:t>
        </w:r>
      </w:hyperlink>
      <w:r w:rsidRPr="00B9254C">
        <w:rPr>
          <w:lang w:val="en-GB"/>
        </w:rPr>
        <w:t xml:space="preserve">) and the United Nations air travel policy, over 10 other similar trips, such as for a workshop of Chiefs of the Joint Mission Analysis Centre, the annual travel symposium, the annual disarmament, demobilization and reintegration symposium, the annual security sector reform practitioners retreat, the protection of civilian advisers retreat and the chief medical officers retreat are budgeted as business travel. In that connection, the Committee was informed, upon enquiry, that the related cost of business class airfare was estimated at $6,630 for 2026/27. </w:t>
      </w:r>
      <w:r w:rsidRPr="00B9254C">
        <w:rPr>
          <w:b/>
          <w:bCs/>
          <w:lang w:val="en-GB"/>
        </w:rPr>
        <w:t>The Advisory Committee emphasizes that greater use of on-the-job training, virtual meetings, online platforms and online training tools should be made and reiterates its view that travel for conferences, workshops and professional meetings should be kept to a minimum in order to achieve efficiencies. The Committee therefore recommends a reduction of 20 per cent ($260,800) to the proposed resources for outside-of-mission-area official travel.</w:t>
      </w:r>
      <w:r w:rsidRPr="00B9254C">
        <w:rPr>
          <w:lang w:val="en-GB"/>
        </w:rPr>
        <w:t xml:space="preserve"> </w:t>
      </w:r>
    </w:p>
    <w:p w14:paraId="59A8A480" w14:textId="77777777" w:rsidR="00D87DC9" w:rsidRPr="00B9254C" w:rsidRDefault="00D87DC9" w:rsidP="00697ECA">
      <w:pPr>
        <w:pStyle w:val="SingleTxt"/>
        <w:spacing w:after="0" w:line="120" w:lineRule="exact"/>
        <w:rPr>
          <w:sz w:val="10"/>
          <w:lang w:val="en-GB"/>
        </w:rPr>
      </w:pPr>
    </w:p>
    <w:p w14:paraId="35BBB404" w14:textId="3907B183" w:rsidR="00D87DC9" w:rsidRPr="00B9254C" w:rsidRDefault="00697ECA" w:rsidP="006407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Facilities and infrastructure</w:t>
      </w:r>
    </w:p>
    <w:p w14:paraId="7CF5DE68" w14:textId="77777777" w:rsidR="00D87DC9" w:rsidRPr="00B9254C" w:rsidRDefault="00D87DC9" w:rsidP="0064071A">
      <w:pPr>
        <w:pStyle w:val="SingleTxt"/>
        <w:keepNext/>
        <w:keepLines/>
        <w:spacing w:after="0" w:line="120" w:lineRule="exact"/>
        <w:rPr>
          <w:sz w:val="10"/>
          <w:lang w:val="en-GB"/>
        </w:rPr>
      </w:pPr>
    </w:p>
    <w:p w14:paraId="76E34172" w14:textId="2998D9F7" w:rsidR="00D87DC9" w:rsidRPr="00B9254C" w:rsidRDefault="00D87DC9" w:rsidP="0064071A">
      <w:pPr>
        <w:pStyle w:val="SingleTxt"/>
        <w:keepNext/>
        <w:keepLines/>
        <w:rPr>
          <w:lang w:val="en-GB"/>
        </w:rPr>
      </w:pPr>
      <w:r w:rsidRPr="00B9254C">
        <w:rPr>
          <w:lang w:val="en-GB"/>
        </w:rPr>
        <w:t>46.</w:t>
      </w:r>
      <w:r w:rsidRPr="00B9254C">
        <w:rPr>
          <w:lang w:val="en-GB"/>
        </w:rPr>
        <w:tab/>
        <w:t>The proposed resources for facilities and infrastructure amount to $83,314,500 for 2026/27, representing an increase of $4,849,400, or 6.2 per cent, compared with the approved level of $78,465,100 for 2025/26. Expenditure amounted to $76,249,700 for 2024/25 and to $71,817,600 for 2023/24 against appropriations in the amount of $77,549,600 and $70,535,500, respectively. Cancellation of prior-period obligations for the 2024/25 period and for the 2023/24 period amounted to $1,679,000 and $2,090,600, respectively.</w:t>
      </w:r>
    </w:p>
    <w:p w14:paraId="098175D3" w14:textId="3F7A4413" w:rsidR="00D87DC9" w:rsidRPr="00B9254C" w:rsidRDefault="00D87DC9" w:rsidP="003046F9">
      <w:pPr>
        <w:pStyle w:val="SingleTxt"/>
        <w:rPr>
          <w:lang w:val="en-GB"/>
        </w:rPr>
      </w:pPr>
      <w:r w:rsidRPr="00B9254C">
        <w:rPr>
          <w:lang w:val="en-GB"/>
        </w:rPr>
        <w:t>47.</w:t>
      </w:r>
      <w:r w:rsidRPr="00B9254C">
        <w:rPr>
          <w:lang w:val="en-GB"/>
        </w:rPr>
        <w:tab/>
        <w:t xml:space="preserve">The increased requirements are attributable primarily to: (a) the acquisition of prefabricated facilities, accommodation and refrigeration equipment to support the consolidation and reconfiguration of MINUSCA in the post-election context, in line with paragraph 48 of Security Council resolution </w:t>
      </w:r>
      <w:hyperlink r:id="rId44" w:history="1">
        <w:r w:rsidRPr="00B9254C">
          <w:rPr>
            <w:rStyle w:val="Hyperlink"/>
            <w:lang w:val="en-GB"/>
          </w:rPr>
          <w:t>2800 (2025)</w:t>
        </w:r>
      </w:hyperlink>
      <w:r w:rsidRPr="00B9254C">
        <w:rPr>
          <w:lang w:val="en-GB"/>
        </w:rPr>
        <w:t>; (b) a higher exchange rate of CFA francs to the United States dollar, affecting the cost of the rental of premises and security services; and (c) the anticipated increase in costs for the outsourcing of facilities maintenance and camp support services to commercial service providers.</w:t>
      </w:r>
    </w:p>
    <w:p w14:paraId="619FDEB4" w14:textId="1B9ED725" w:rsidR="00D87DC9" w:rsidRPr="00B9254C" w:rsidRDefault="00D87DC9" w:rsidP="003046F9">
      <w:pPr>
        <w:pStyle w:val="SingleTxt"/>
        <w:rPr>
          <w:lang w:val="en-GB"/>
        </w:rPr>
      </w:pPr>
      <w:r w:rsidRPr="00B9254C">
        <w:rPr>
          <w:lang w:val="en-GB"/>
        </w:rPr>
        <w:t>48.</w:t>
      </w:r>
      <w:r w:rsidRPr="00B9254C">
        <w:rPr>
          <w:lang w:val="en-GB"/>
        </w:rPr>
        <w:tab/>
        <w:t xml:space="preserve">The proposed resources for maintenance services under facilities and infrastructure amount to $6,179,500 for 2026/27, representing an increase of $124,700, or 2.1 per cent, compared with the approved level of $6,054,800 for 2025/26. Expenditure amounted to $222,300 for 2024/25 and to $244,800 for 2023/24 against appropriations in the amount of $401,500 and $315,400, respectively. Upon enquiry, the Advisory Committee was informed that MINUSCA relies on individual contractors to deliver camp management services, including operations, maintenance and repair activities, and that following a recent solicitation process, the proposals received were substantially higher than the resources approved for 2025/26. The Committee was informed that, therefore, the activation timeline for the outsourcing contract had been revised and was now projected for December 2026. The maintenance contract budget had increased in 2025/26 to support anticipated contract activation, and the proposed budget for 2026/27 had therefore not been reduced because the underlying service requirements and risk profile remained unchanged. The Committee notes that the individual contractors budget subclass, under other supplies, services and equipment, has shown overexpenditures of 20.4 per cent (or </w:t>
      </w:r>
      <w:r w:rsidRPr="00B9254C">
        <w:rPr>
          <w:spacing w:val="2"/>
          <w:lang w:val="en-GB"/>
        </w:rPr>
        <w:t xml:space="preserve">$1,988,500) in 2023/24 and of 20.2 per cent (or ($1,981,500) in 2024/25. </w:t>
      </w:r>
      <w:r w:rsidRPr="00B9254C">
        <w:rPr>
          <w:b/>
          <w:bCs/>
          <w:spacing w:val="2"/>
          <w:lang w:val="en-GB"/>
        </w:rPr>
        <w:t>The Advisory</w:t>
      </w:r>
      <w:r w:rsidRPr="00B9254C">
        <w:rPr>
          <w:b/>
          <w:bCs/>
          <w:lang w:val="en-GB"/>
        </w:rPr>
        <w:t xml:space="preserve"> Committee notes that the full implementation of the new contracts for the outsourcing of maintenance of facilities and camp services continues to be delayed. The Committee trusts that updated information on the implementation timeline and projected costs under facilities and infrastructure, as well as expected efficiencies from outsourcing, will be provided to the General Assembly at the time of its consideration of the present report and in the next budget proposal (see also </w:t>
      </w:r>
      <w:hyperlink r:id="rId45" w:history="1">
        <w:r w:rsidRPr="00B9254C">
          <w:rPr>
            <w:rStyle w:val="Hyperlink"/>
            <w:b/>
            <w:bCs/>
            <w:lang w:val="en-GB"/>
          </w:rPr>
          <w:t>A/79/724/Add.13</w:t>
        </w:r>
      </w:hyperlink>
      <w:r w:rsidRPr="00B9254C">
        <w:rPr>
          <w:b/>
          <w:bCs/>
          <w:lang w:val="en-GB"/>
        </w:rPr>
        <w:t>, paras. 43</w:t>
      </w:r>
      <w:r w:rsidR="003046F9" w:rsidRPr="00B9254C">
        <w:rPr>
          <w:b/>
          <w:bCs/>
          <w:lang w:val="en-GB"/>
        </w:rPr>
        <w:t>–</w:t>
      </w:r>
      <w:r w:rsidRPr="00B9254C">
        <w:rPr>
          <w:b/>
          <w:bCs/>
          <w:lang w:val="en-GB"/>
        </w:rPr>
        <w:t>44).</w:t>
      </w:r>
    </w:p>
    <w:p w14:paraId="34F693D1" w14:textId="15A52A70" w:rsidR="00D87DC9" w:rsidRPr="00B9254C" w:rsidRDefault="00D87DC9" w:rsidP="003046F9">
      <w:pPr>
        <w:pStyle w:val="SingleTxt"/>
        <w:rPr>
          <w:spacing w:val="2"/>
          <w:lang w:val="en-GB"/>
        </w:rPr>
      </w:pPr>
      <w:r w:rsidRPr="00B9254C">
        <w:rPr>
          <w:spacing w:val="2"/>
          <w:lang w:val="en-GB"/>
        </w:rPr>
        <w:t>49.</w:t>
      </w:r>
      <w:r w:rsidRPr="00B9254C">
        <w:rPr>
          <w:spacing w:val="2"/>
          <w:lang w:val="en-GB"/>
        </w:rPr>
        <w:tab/>
        <w:t>Supplementary information provided to the Advisory Committee indicates that, from inception to the 2025/26 period, an amount of $10,744,610 was appropriated for major construction projects and that expenditure amounted to $6,219,999 as at 31</w:t>
      </w:r>
      <w:r w:rsidR="003046F9" w:rsidRPr="00B9254C">
        <w:rPr>
          <w:spacing w:val="2"/>
          <w:lang w:val="en-GB"/>
        </w:rPr>
        <w:t> </w:t>
      </w:r>
      <w:r w:rsidRPr="00B9254C">
        <w:rPr>
          <w:spacing w:val="2"/>
          <w:lang w:val="en-GB"/>
        </w:rPr>
        <w:t>December 2025. For 2026/27, an amount of $4,865,000 is proposed for major construction projects for nine major multi-year and single-year construction projects. The Committee was informed that all infrastructure projects proposed for 2026/27 have been assessed to ensure alignment with the consolidation priorities of MINUSCA. These projects will focus on safety, compliance and cost-efficiency rather than capacity expansion. Also, mobility-supporting works, including bridge abutments and helicopter landing sites, provide durable operational and community benefits. According to MINUSCA, the proposed infrastructure is proportionate, risk-informed and aligned with the Mission’s consolidation and reconfiguration strategy. No renewable energy and prefabricated accommodation projects were implemented in 2025/26 due to liquidity constraints. Upon enquiry, the Committee was informed that the key strategic construction-related investments include: (a) mobility-supporting works, including bridge abutments and road rehabilitation; (b) a wastewater and solid waste system; (c)</w:t>
      </w:r>
      <w:r w:rsidR="00697ECA" w:rsidRPr="00B9254C">
        <w:rPr>
          <w:spacing w:val="2"/>
          <w:lang w:val="en-GB"/>
        </w:rPr>
        <w:t> </w:t>
      </w:r>
      <w:r w:rsidRPr="00B9254C">
        <w:rPr>
          <w:spacing w:val="2"/>
          <w:lang w:val="en-GB"/>
        </w:rPr>
        <w:t>renewable energy; (d) warehousing and disposal support facilities necessary for site closures and the repatriation or disposal of decommissioned assets in an orderly manner; (e) borehole construction to reduce dependence on airlifted or bottled water supplies and associated logistical costs; and (f) completion of a landfill.</w:t>
      </w:r>
    </w:p>
    <w:p w14:paraId="54EC240E" w14:textId="077B6FC0" w:rsidR="00D87DC9" w:rsidRPr="00B9254C" w:rsidRDefault="00D87DC9" w:rsidP="003046F9">
      <w:pPr>
        <w:pStyle w:val="SingleTxt"/>
        <w:rPr>
          <w:rFonts w:asciiTheme="majorBidi" w:hAnsiTheme="majorBidi" w:cstheme="majorBidi"/>
          <w:lang w:val="en-GB"/>
        </w:rPr>
      </w:pPr>
      <w:r w:rsidRPr="00B9254C">
        <w:rPr>
          <w:lang w:val="en-GB"/>
        </w:rPr>
        <w:t>50.</w:t>
      </w:r>
      <w:r w:rsidRPr="00B9254C">
        <w:rPr>
          <w:lang w:val="en-GB"/>
        </w:rPr>
        <w:tab/>
      </w:r>
      <w:r w:rsidRPr="00B9254C">
        <w:rPr>
          <w:rFonts w:asciiTheme="majorBidi" w:hAnsiTheme="majorBidi" w:cstheme="majorBidi"/>
          <w:lang w:val="en-GB"/>
        </w:rPr>
        <w:t xml:space="preserve">The Advisory Committee recalls that it was previously informed that, in 2023, MINUSCA conducted a comprehensive logistics and transportation assessment aimed at identifying gaps in the Mission’s existing transportation capacity and infrastructure. The recommendations resulting from the assessment were categorized for implementation in the immediate term (October 2023 to March 2024), medium term (April to August 2024) and long term (September 2024 to October 2025). The immediate requirements were implemented during the 2023/24 budget period and requirements amounting to $23.3 million were included in the 2024/25 budget proposal, mainly under air operations and facilities and infrastructure (see </w:t>
      </w:r>
      <w:hyperlink r:id="rId46" w:history="1">
        <w:r w:rsidRPr="00B9254C">
          <w:rPr>
            <w:rStyle w:val="Hyperlink"/>
            <w:rFonts w:asciiTheme="majorBidi" w:hAnsiTheme="majorBidi" w:cstheme="majorBidi"/>
            <w:spacing w:val="2"/>
            <w:lang w:val="en-GB"/>
          </w:rPr>
          <w:t>A/78/744/Add.10</w:t>
        </w:r>
      </w:hyperlink>
      <w:r w:rsidRPr="00B9254C">
        <w:rPr>
          <w:rFonts w:asciiTheme="majorBidi" w:hAnsiTheme="majorBidi" w:cstheme="majorBidi"/>
          <w:spacing w:val="2"/>
          <w:lang w:val="en-GB"/>
        </w:rPr>
        <w:t xml:space="preserve">, para. 29). </w:t>
      </w:r>
      <w:r w:rsidRPr="00B9254C">
        <w:rPr>
          <w:rFonts w:asciiTheme="majorBidi" w:hAnsiTheme="majorBidi" w:cstheme="majorBidi"/>
          <w:b/>
          <w:bCs/>
          <w:spacing w:val="2"/>
          <w:lang w:val="en-GB"/>
        </w:rPr>
        <w:t>The Advisory Committee acknowledges the importance</w:t>
      </w:r>
      <w:r w:rsidRPr="00B9254C">
        <w:rPr>
          <w:rFonts w:asciiTheme="majorBidi" w:hAnsiTheme="majorBidi" w:cstheme="majorBidi"/>
          <w:b/>
          <w:bCs/>
          <w:lang w:val="en-GB"/>
        </w:rPr>
        <w:t xml:space="preserve"> of logistical capacities and mobility in support of the reconfigured posture of </w:t>
      </w:r>
      <w:r w:rsidRPr="00B9254C">
        <w:rPr>
          <w:rFonts w:asciiTheme="majorBidi" w:hAnsiTheme="majorBidi" w:cstheme="majorBidi"/>
          <w:b/>
          <w:bCs/>
          <w:spacing w:val="2"/>
          <w:lang w:val="en-GB"/>
        </w:rPr>
        <w:t>MINUSCA. The Committee trusts that further information on the relation between</w:t>
      </w:r>
      <w:r w:rsidRPr="00B9254C">
        <w:rPr>
          <w:rFonts w:asciiTheme="majorBidi" w:hAnsiTheme="majorBidi" w:cstheme="majorBidi"/>
          <w:b/>
          <w:bCs/>
          <w:lang w:val="en-GB"/>
        </w:rPr>
        <w:t xml:space="preserve"> investments already made and proposed additional requirements will be presented to the General Assembly at the time of its consideration of the present report. The Committee also trusts that one-time costs related to consolidation and configuration will be provided to the Assembly at the time of its consideration of the present report and will be adjusted in the next budget submission (see also para. 15 above).</w:t>
      </w:r>
    </w:p>
    <w:p w14:paraId="02301E9B" w14:textId="17D66043" w:rsidR="00D87DC9" w:rsidRPr="00B9254C" w:rsidRDefault="00D87DC9" w:rsidP="00D87DC9">
      <w:pPr>
        <w:pStyle w:val="SingleTxt"/>
        <w:rPr>
          <w:lang w:val="en-GB"/>
        </w:rPr>
      </w:pPr>
      <w:r w:rsidRPr="00B9254C">
        <w:rPr>
          <w:lang w:val="en-GB"/>
        </w:rPr>
        <w:t>51.</w:t>
      </w:r>
      <w:r w:rsidRPr="00B9254C">
        <w:rPr>
          <w:lang w:val="en-GB"/>
        </w:rPr>
        <w:tab/>
      </w:r>
      <w:r w:rsidRPr="00B9254C">
        <w:rPr>
          <w:b/>
          <w:bCs/>
          <w:lang w:val="en-GB"/>
        </w:rPr>
        <w:t>Taking into consideration the recent level of expenditure under facilities and infrastructure and the cancellation of prior-period obligations (see paras. 5 and 6 above), the Advisory Committee recommends a reduction of 5 per cent ($2,324,900) to the proposed resources for facilities and infrastructure, excluding the proposed requirements under petrol, oil and lubricants.</w:t>
      </w:r>
    </w:p>
    <w:p w14:paraId="0B12DAE8" w14:textId="77777777" w:rsidR="00D87DC9" w:rsidRPr="00B9254C" w:rsidRDefault="00D87DC9" w:rsidP="00697ECA">
      <w:pPr>
        <w:pStyle w:val="SingleTxt"/>
        <w:spacing w:after="0" w:line="120" w:lineRule="exact"/>
        <w:rPr>
          <w:sz w:val="10"/>
          <w:lang w:val="en-GB"/>
        </w:rPr>
      </w:pPr>
    </w:p>
    <w:p w14:paraId="6D64AB68" w14:textId="52389319"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 xml:space="preserve">Ground transportation </w:t>
      </w:r>
    </w:p>
    <w:p w14:paraId="4A109D4C" w14:textId="77777777" w:rsidR="00D87DC9" w:rsidRPr="00B9254C" w:rsidRDefault="00D87DC9" w:rsidP="00697ECA">
      <w:pPr>
        <w:pStyle w:val="SingleTxt"/>
        <w:spacing w:after="0" w:line="120" w:lineRule="exact"/>
        <w:rPr>
          <w:sz w:val="10"/>
          <w:lang w:val="en-GB"/>
        </w:rPr>
      </w:pPr>
    </w:p>
    <w:p w14:paraId="19E2FBF8" w14:textId="0DA81CDD" w:rsidR="00D87DC9" w:rsidRPr="00B9254C" w:rsidRDefault="00D87DC9" w:rsidP="003046F9">
      <w:pPr>
        <w:pStyle w:val="SingleTxt"/>
        <w:rPr>
          <w:lang w:val="en-GB"/>
        </w:rPr>
      </w:pPr>
      <w:r w:rsidRPr="00B9254C">
        <w:rPr>
          <w:lang w:val="en-GB"/>
        </w:rPr>
        <w:t>52.</w:t>
      </w:r>
      <w:r w:rsidRPr="00B9254C">
        <w:rPr>
          <w:lang w:val="en-GB"/>
        </w:rPr>
        <w:tab/>
        <w:t>The proposed resources for ground transportation amount to $18,505,400 for 2026/27, representing a decrease of $326,100, or 1.7 per cent, compared with the approved level of $18,831,500 for 2025/26. Expenditure amounted to $19,111,500 for 2024/25 and to $19,397,700 for 2023/24 against appropriations in the amount of $19,616,500 and $19,071,100, respectively. The reduced requirements are attributable primarily to the rationalization of the existing fleet and the postponement of planned vehicle replacements and write-offs, as well as the adoption of manufacturer-recommended maintenance intervals in lieu of the United Nations standard for severe operating conditions for light passenger vehicles in Bangui, offset in part by higher anticipated average fuel costs and higher operational, maintenance and mobilization fees to support the planned mobilization of fuel in Sector East.</w:t>
      </w:r>
    </w:p>
    <w:p w14:paraId="33E91CC1" w14:textId="7047BDC7" w:rsidR="00D87DC9" w:rsidRPr="00B9254C" w:rsidRDefault="00D87DC9" w:rsidP="00D87DC9">
      <w:pPr>
        <w:pStyle w:val="SingleTxt"/>
        <w:rPr>
          <w:lang w:val="en-GB"/>
        </w:rPr>
      </w:pPr>
      <w:r w:rsidRPr="00B9254C">
        <w:rPr>
          <w:lang w:val="en-GB"/>
        </w:rPr>
        <w:t>53.</w:t>
      </w:r>
      <w:r w:rsidRPr="00B9254C">
        <w:rPr>
          <w:lang w:val="en-GB"/>
        </w:rPr>
        <w:tab/>
        <w:t xml:space="preserve">Upon enquiry, the Advisory Committee was informed that no vehicle acquisitions are proposed for 2026/27 and that the replacement cycle had been deferred to 2027/28. Of the 318 vehicles planned for 2026/27, 143 had been written off to align the fleet with the revised operational footprint under the contingency plan and 175 were scheduled for replacement in 2027/28. The Committee was also informed that, of the total of 1,432 vehicles, 1,369 (95.6 per cent) were serviceable and 63 were undergoing repair, at an estimated cost of $283,725. </w:t>
      </w:r>
      <w:r w:rsidRPr="00B9254C">
        <w:rPr>
          <w:b/>
          <w:bCs/>
          <w:lang w:val="en-GB"/>
        </w:rPr>
        <w:t xml:space="preserve">The Advisory Committee notes that, primarily as a result of the broader reconfiguration and </w:t>
      </w:r>
      <w:r w:rsidRPr="00B9254C">
        <w:rPr>
          <w:rFonts w:ascii="Times New Roman Bold" w:hAnsi="Times New Roman Bold" w:cs="Times New Roman Bold"/>
          <w:b/>
          <w:bCs/>
          <w:spacing w:val="2"/>
          <w:lang w:val="en-GB"/>
        </w:rPr>
        <w:t>consolidation phase of MINUSCA, the vehicle replacement plan has been deferred</w:t>
      </w:r>
      <w:r w:rsidRPr="00B9254C">
        <w:rPr>
          <w:b/>
          <w:bCs/>
          <w:lang w:val="en-GB"/>
        </w:rPr>
        <w:t xml:space="preserve"> </w:t>
      </w:r>
      <w:r w:rsidRPr="00B9254C">
        <w:rPr>
          <w:rFonts w:ascii="Times New Roman Bold" w:hAnsi="Times New Roman Bold" w:cs="Times New Roman Bold"/>
          <w:b/>
          <w:bCs/>
          <w:spacing w:val="2"/>
          <w:lang w:val="en-GB"/>
        </w:rPr>
        <w:t>and that, at this stage, it is planned to recommence the replacement and acquisition</w:t>
      </w:r>
      <w:r w:rsidRPr="00B9254C">
        <w:rPr>
          <w:b/>
          <w:bCs/>
          <w:lang w:val="en-GB"/>
        </w:rPr>
        <w:t xml:space="preserve"> of vehicles during the 2027/28 financial period. The Committee trusts that the vehicle replacement plan will proceed in a phased manner, in particular as MINUSCA is initiating a phase of consolidation, reconfiguration and internal strategic review, in line with paragraph 48 of Security Council resolution </w:t>
      </w:r>
      <w:hyperlink r:id="rId47" w:history="1">
        <w:r w:rsidRPr="00B9254C">
          <w:rPr>
            <w:rStyle w:val="Hyperlink"/>
            <w:b/>
            <w:bCs/>
            <w:lang w:val="en-GB"/>
          </w:rPr>
          <w:t>2800 (2025)</w:t>
        </w:r>
      </w:hyperlink>
      <w:r w:rsidRPr="00B9254C">
        <w:rPr>
          <w:b/>
          <w:bCs/>
          <w:lang w:val="en-GB"/>
        </w:rPr>
        <w:t>, as noted in paragraph 13 above.</w:t>
      </w:r>
    </w:p>
    <w:p w14:paraId="1100F2C8" w14:textId="77777777" w:rsidR="00D87DC9" w:rsidRPr="00B9254C" w:rsidRDefault="00D87DC9" w:rsidP="00697ECA">
      <w:pPr>
        <w:pStyle w:val="SingleTxt"/>
        <w:spacing w:after="0" w:line="120" w:lineRule="exact"/>
        <w:rPr>
          <w:sz w:val="10"/>
          <w:lang w:val="en-GB"/>
        </w:rPr>
      </w:pPr>
    </w:p>
    <w:p w14:paraId="6C6E8DE3" w14:textId="0D4FE7A7"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Petrol, oil and lubricants</w:t>
      </w:r>
    </w:p>
    <w:p w14:paraId="6846363F" w14:textId="77777777" w:rsidR="00D87DC9" w:rsidRPr="00B9254C" w:rsidRDefault="00D87DC9" w:rsidP="00697ECA">
      <w:pPr>
        <w:pStyle w:val="SingleTxt"/>
        <w:spacing w:after="0" w:line="120" w:lineRule="exact"/>
        <w:rPr>
          <w:sz w:val="10"/>
          <w:lang w:val="en-GB"/>
        </w:rPr>
      </w:pPr>
    </w:p>
    <w:p w14:paraId="689C0798" w14:textId="680977B4" w:rsidR="00D87DC9" w:rsidRPr="00B9254C" w:rsidRDefault="00D87DC9" w:rsidP="00D87DC9">
      <w:pPr>
        <w:pStyle w:val="SingleTxt"/>
        <w:rPr>
          <w:lang w:val="en-GB"/>
        </w:rPr>
      </w:pPr>
      <w:r w:rsidRPr="00B9254C">
        <w:rPr>
          <w:lang w:val="en-GB"/>
        </w:rPr>
        <w:t>54.</w:t>
      </w:r>
      <w:r w:rsidRPr="00B9254C">
        <w:rPr>
          <w:lang w:val="en-GB"/>
        </w:rPr>
        <w:tab/>
        <w:t>For petrol, oil and lubricants, a total amount of $68,415,502 is proposed for the 2026/27 period, reflecting a decrease of $2,056,800, or 2.9 per cent, under air operations ($16,924,800, a decrease of $2,240,500, or 11.7 per cent), offset by increases under facilities and infrastructure ($64,800, an increase of 0.2 per cent) and ground transportation ($118,900, an increase of 0.8 per cent).</w:t>
      </w:r>
      <w:r w:rsidR="003046F9" w:rsidRPr="00B9254C">
        <w:rPr>
          <w:lang w:val="en-GB"/>
        </w:rPr>
        <w:t xml:space="preserve"> </w:t>
      </w:r>
      <w:r w:rsidRPr="00B9254C">
        <w:rPr>
          <w:b/>
          <w:bCs/>
          <w:lang w:val="en-GB"/>
        </w:rPr>
        <w:t>The Advisory Committee trusts that updated information on fuel costs will be provided to the General Assembly at the time of its consideration of the present report.</w:t>
      </w:r>
    </w:p>
    <w:p w14:paraId="44DC43F6" w14:textId="77777777" w:rsidR="00D87DC9" w:rsidRPr="00B9254C" w:rsidRDefault="00D87DC9" w:rsidP="00697ECA">
      <w:pPr>
        <w:pStyle w:val="SingleTxt"/>
        <w:spacing w:after="0" w:line="120" w:lineRule="exact"/>
        <w:rPr>
          <w:sz w:val="10"/>
          <w:lang w:val="en-GB"/>
        </w:rPr>
      </w:pPr>
    </w:p>
    <w:p w14:paraId="512803DE" w14:textId="5D1DDFB6"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Quick-impact projects</w:t>
      </w:r>
    </w:p>
    <w:p w14:paraId="07292AC7" w14:textId="77777777" w:rsidR="00D87DC9" w:rsidRPr="00B9254C" w:rsidRDefault="00D87DC9" w:rsidP="00697ECA">
      <w:pPr>
        <w:pStyle w:val="SingleTxt"/>
        <w:spacing w:after="0" w:line="120" w:lineRule="exact"/>
        <w:rPr>
          <w:sz w:val="10"/>
          <w:lang w:val="en-GB"/>
        </w:rPr>
      </w:pPr>
    </w:p>
    <w:p w14:paraId="219AAEA8" w14:textId="75635824" w:rsidR="00D87DC9" w:rsidRPr="00B9254C" w:rsidRDefault="00D87DC9" w:rsidP="003046F9">
      <w:pPr>
        <w:pStyle w:val="SingleTxt"/>
        <w:rPr>
          <w:lang w:val="en-GB"/>
        </w:rPr>
      </w:pPr>
      <w:r w:rsidRPr="00B9254C">
        <w:rPr>
          <w:lang w:val="en-GB"/>
        </w:rPr>
        <w:t>55.</w:t>
      </w:r>
      <w:r w:rsidRPr="00B9254C">
        <w:rPr>
          <w:lang w:val="en-GB"/>
        </w:rPr>
        <w:tab/>
        <w:t>The proposed resources for quick-impact projects amount to $4,000,000 for 2026/27, representing no change compared with the approved level for 2025/26. Expenditure amounted to $3,580,400 for 2024/25 and to $2,992,000 for 2023/24 against appropriations in the amount of $4,000,000 and $3,000,000, respectively. Related details are described in paragraphs 80 to 82 of the report of the Secretary-General (</w:t>
      </w:r>
      <w:hyperlink r:id="rId48" w:history="1">
        <w:r w:rsidRPr="00B9254C">
          <w:rPr>
            <w:rStyle w:val="Hyperlink"/>
            <w:lang w:val="en-GB"/>
          </w:rPr>
          <w:t>A/80/623</w:t>
        </w:r>
      </w:hyperlink>
      <w:r w:rsidRPr="00B9254C">
        <w:rPr>
          <w:lang w:val="en-GB"/>
        </w:rPr>
        <w:t>), which indicates that the implementation will proceed in a decentralized manner in coordination with national authorities, humanitarian organizations and development partners, with the planned 110 small-scale quick-impact projects, the same number as had been planned for 2025/26, to focus on: (a)</w:t>
      </w:r>
      <w:r w:rsidR="003046F9" w:rsidRPr="00B9254C">
        <w:rPr>
          <w:lang w:val="en-GB"/>
        </w:rPr>
        <w:t> </w:t>
      </w:r>
      <w:r w:rsidRPr="00B9254C">
        <w:rPr>
          <w:lang w:val="en-GB"/>
        </w:rPr>
        <w:t xml:space="preserve">support for the political, peace and reconciliation processes; (b) facilitation of the mobility of uniformed components and enhancement of the integrated field presence of MINUSCA in the protection of civilians; and (c) support for the sustainable restoration and enhancement of State authority in the areas of security, rule of law, efforts to combat impunity, and local administration. </w:t>
      </w:r>
    </w:p>
    <w:p w14:paraId="7FC5F6FB" w14:textId="4554CCA5" w:rsidR="00D87DC9" w:rsidRPr="00B9254C" w:rsidRDefault="00D87DC9" w:rsidP="003046F9">
      <w:pPr>
        <w:pStyle w:val="SingleTxt"/>
        <w:rPr>
          <w:lang w:val="en-GB"/>
        </w:rPr>
      </w:pPr>
      <w:r w:rsidRPr="00B9254C">
        <w:rPr>
          <w:lang w:val="en-GB"/>
        </w:rPr>
        <w:t>56.</w:t>
      </w:r>
      <w:r w:rsidRPr="00B9254C">
        <w:rPr>
          <w:lang w:val="en-GB"/>
        </w:rPr>
        <w:tab/>
        <w:t>Upon enquiry, the Advisory Committee was informed that the criteria for selecting quick-impact projects have been refined to reflect the transition from stabilization to consolidation. During 2025/26, an amount of $4 million was approved for 110 quick-impact projects, but 15 per cent of the allocation was withheld, resulting in a revised ceiling of $3.4 million and a corresponding adjustment to approximately 90 projects. As at 31 January 2026, an amount of $2.5 million had been released, representing 72 per cent of the revised allocation of $3.4 million. Fifty-three projects have recorded commitments in Umoja, with actual expenditures totalling $2.2</w:t>
      </w:r>
      <w:r w:rsidR="003046F9" w:rsidRPr="00B9254C">
        <w:rPr>
          <w:lang w:val="en-GB"/>
        </w:rPr>
        <w:t> </w:t>
      </w:r>
      <w:r w:rsidRPr="00B9254C">
        <w:rPr>
          <w:lang w:val="en-GB"/>
        </w:rPr>
        <w:t xml:space="preserve">million. The Committee was informed that MINUSCA considers quick-impact projects and programmatic activities to be complementary initiatives designed to address immediate community needs and longer-term objectives in a coordinated manner. </w:t>
      </w:r>
      <w:r w:rsidRPr="00B9254C">
        <w:rPr>
          <w:b/>
          <w:bCs/>
          <w:lang w:val="en-GB"/>
        </w:rPr>
        <w:t>The Advisory Committee trusts that MINUSCA will ensure that the projects benefit the local population, as intended, including through hard-walled projects that leave a positive legacy of the Mission in the local communities.</w:t>
      </w:r>
      <w:r w:rsidRPr="00B9254C">
        <w:rPr>
          <w:lang w:val="en-GB"/>
        </w:rPr>
        <w:t xml:space="preserve"> </w:t>
      </w:r>
    </w:p>
    <w:p w14:paraId="68A0E61B" w14:textId="77777777" w:rsidR="00D87DC9" w:rsidRPr="00B9254C" w:rsidRDefault="00D87DC9" w:rsidP="00D87DC9">
      <w:pPr>
        <w:pStyle w:val="SingleTxt"/>
        <w:rPr>
          <w:lang w:val="en-GB"/>
        </w:rPr>
      </w:pPr>
      <w:r w:rsidRPr="00B9254C">
        <w:rPr>
          <w:lang w:val="en-GB"/>
        </w:rPr>
        <w:t>57.</w:t>
      </w:r>
      <w:r w:rsidRPr="00B9254C">
        <w:rPr>
          <w:lang w:val="en-GB"/>
        </w:rPr>
        <w:tab/>
      </w:r>
      <w:r w:rsidRPr="00B9254C">
        <w:rPr>
          <w:b/>
          <w:bCs/>
          <w:lang w:val="en-GB"/>
        </w:rPr>
        <w:t>Subject to its recommendations in paragraphs 42, 45 and 51 above, the Advisory Committee recommends the approval of the proposals of the Secretary-General for operational costs.</w:t>
      </w:r>
    </w:p>
    <w:p w14:paraId="7FA87B70" w14:textId="77777777" w:rsidR="00D87DC9" w:rsidRPr="00B9254C" w:rsidRDefault="00D87DC9" w:rsidP="003046F9">
      <w:pPr>
        <w:pStyle w:val="SingleTxt"/>
        <w:spacing w:after="0" w:line="120" w:lineRule="exact"/>
        <w:rPr>
          <w:sz w:val="10"/>
          <w:lang w:val="en-GB"/>
        </w:rPr>
      </w:pPr>
    </w:p>
    <w:p w14:paraId="15011A3B" w14:textId="77777777" w:rsidR="003046F9" w:rsidRPr="00B9254C" w:rsidRDefault="003046F9" w:rsidP="003046F9">
      <w:pPr>
        <w:pStyle w:val="SingleTxt"/>
        <w:spacing w:after="0" w:line="120" w:lineRule="exact"/>
        <w:rPr>
          <w:sz w:val="10"/>
          <w:lang w:val="en-GB"/>
        </w:rPr>
      </w:pPr>
    </w:p>
    <w:p w14:paraId="7D946B86" w14:textId="1FFD3C04" w:rsidR="00D87DC9" w:rsidRPr="00B9254C" w:rsidRDefault="003046F9" w:rsidP="0064071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V.</w:t>
      </w:r>
      <w:r w:rsidR="00D87DC9" w:rsidRPr="00B9254C">
        <w:rPr>
          <w:lang w:val="en-GB"/>
        </w:rPr>
        <w:tab/>
        <w:t>Other matters</w:t>
      </w:r>
    </w:p>
    <w:p w14:paraId="41EDECFD" w14:textId="77777777" w:rsidR="00D87DC9" w:rsidRPr="00B9254C" w:rsidRDefault="00D87DC9" w:rsidP="0064071A">
      <w:pPr>
        <w:pStyle w:val="SingleTxt"/>
        <w:keepNext/>
        <w:keepLines/>
        <w:spacing w:after="0" w:line="120" w:lineRule="exact"/>
        <w:rPr>
          <w:sz w:val="10"/>
          <w:lang w:val="en-GB"/>
        </w:rPr>
      </w:pPr>
    </w:p>
    <w:p w14:paraId="1734EA19" w14:textId="77777777" w:rsidR="003046F9" w:rsidRPr="00B9254C" w:rsidRDefault="003046F9" w:rsidP="0064071A">
      <w:pPr>
        <w:pStyle w:val="SingleTxt"/>
        <w:keepNext/>
        <w:keepLines/>
        <w:spacing w:after="0" w:line="120" w:lineRule="exact"/>
        <w:rPr>
          <w:sz w:val="10"/>
          <w:lang w:val="en-GB"/>
        </w:rPr>
      </w:pPr>
    </w:p>
    <w:p w14:paraId="5FA982BF" w14:textId="3D38B4FA" w:rsidR="00D87DC9" w:rsidRPr="00B9254C" w:rsidRDefault="00697ECA" w:rsidP="006407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Environmental initiatives</w:t>
      </w:r>
    </w:p>
    <w:p w14:paraId="0509B541" w14:textId="77777777" w:rsidR="00D87DC9" w:rsidRPr="00B9254C" w:rsidRDefault="00D87DC9" w:rsidP="0064071A">
      <w:pPr>
        <w:pStyle w:val="SingleTxt"/>
        <w:keepNext/>
        <w:keepLines/>
        <w:spacing w:after="0" w:line="120" w:lineRule="exact"/>
        <w:rPr>
          <w:sz w:val="10"/>
          <w:lang w:val="en-GB"/>
        </w:rPr>
      </w:pPr>
    </w:p>
    <w:p w14:paraId="607B2640" w14:textId="55D94F0B" w:rsidR="00D87DC9" w:rsidRDefault="00D87DC9" w:rsidP="0064071A">
      <w:pPr>
        <w:pStyle w:val="SingleTxt"/>
        <w:keepNext/>
        <w:keepLines/>
        <w:rPr>
          <w:b/>
          <w:bCs/>
          <w:lang w:val="en-GB"/>
        </w:rPr>
      </w:pPr>
      <w:r w:rsidRPr="00B9254C">
        <w:rPr>
          <w:lang w:val="en-GB"/>
        </w:rPr>
        <w:t>58.</w:t>
      </w:r>
      <w:r w:rsidRPr="00B9254C">
        <w:rPr>
          <w:lang w:val="en-GB"/>
        </w:rPr>
        <w:tab/>
        <w:t>It is indicated that MINUSCA is advancing its environmental sustainability efforts through the installation of seven solar photovoltaic systems, which would save approximately 486,000 litres of fuel annually, as well as the replacement of eight generators with more efficient models, and waste-management initiatives (</w:t>
      </w:r>
      <w:hyperlink r:id="rId49" w:history="1">
        <w:r w:rsidRPr="00B9254C">
          <w:rPr>
            <w:rStyle w:val="Hyperlink"/>
            <w:lang w:val="en-GB"/>
          </w:rPr>
          <w:t>A/80/623</w:t>
        </w:r>
      </w:hyperlink>
      <w:r w:rsidRPr="00B9254C">
        <w:rPr>
          <w:lang w:val="en-GB"/>
        </w:rPr>
        <w:t xml:space="preserve">, paras. 19 and 68). The Advisory Committee notes, however, that no information on the investments aimed at generating efficiency gains has been included in the report </w:t>
      </w:r>
      <w:r w:rsidRPr="00B9254C">
        <w:rPr>
          <w:spacing w:val="2"/>
          <w:lang w:val="en-GB"/>
        </w:rPr>
        <w:t xml:space="preserve">of the Secretary-General. </w:t>
      </w:r>
      <w:r w:rsidRPr="00B9254C">
        <w:rPr>
          <w:b/>
          <w:bCs/>
          <w:spacing w:val="2"/>
          <w:lang w:val="en-GB"/>
        </w:rPr>
        <w:t>The Advisory Committee trusts that detailed information</w:t>
      </w:r>
      <w:r w:rsidRPr="00B9254C">
        <w:rPr>
          <w:b/>
          <w:bCs/>
          <w:lang w:val="en-GB"/>
        </w:rPr>
        <w:t xml:space="preserve"> on the investments made to advance environmental initiatives of the Mission will be included in future budget reports. The Committee notes the efforts of MINUSCA to improve its environmental footprint and trusts that further efficiency gains will continue to be generated from its environmental initiatives and will continue to be reflected in future budget reports.</w:t>
      </w:r>
    </w:p>
    <w:p w14:paraId="64FFB5D0" w14:textId="77777777" w:rsidR="00F848BC" w:rsidRPr="00823A1A" w:rsidRDefault="00F848BC" w:rsidP="00823A1A">
      <w:pPr>
        <w:pStyle w:val="SingleTxt"/>
        <w:spacing w:after="0" w:line="120" w:lineRule="exact"/>
        <w:rPr>
          <w:sz w:val="10"/>
          <w:lang w:val="en-GB"/>
        </w:rPr>
      </w:pPr>
    </w:p>
    <w:p w14:paraId="4D3D8135" w14:textId="265B7E99"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Local procurement</w:t>
      </w:r>
    </w:p>
    <w:p w14:paraId="4B92AE16" w14:textId="77777777" w:rsidR="00D87DC9" w:rsidRPr="00B9254C" w:rsidRDefault="00D87DC9" w:rsidP="00697ECA">
      <w:pPr>
        <w:pStyle w:val="SingleTxt"/>
        <w:spacing w:after="0" w:line="120" w:lineRule="exact"/>
        <w:rPr>
          <w:sz w:val="10"/>
          <w:lang w:val="en-GB"/>
        </w:rPr>
      </w:pPr>
    </w:p>
    <w:p w14:paraId="552D680B" w14:textId="613BA883" w:rsidR="00D87DC9" w:rsidRPr="00B9254C" w:rsidRDefault="00D87DC9" w:rsidP="00D87DC9">
      <w:pPr>
        <w:pStyle w:val="SingleTxt"/>
        <w:rPr>
          <w:lang w:val="en-GB"/>
        </w:rPr>
      </w:pPr>
      <w:r w:rsidRPr="00B9254C">
        <w:rPr>
          <w:lang w:val="en-GB"/>
        </w:rPr>
        <w:t>59.</w:t>
      </w:r>
      <w:r w:rsidRPr="00B9254C">
        <w:rPr>
          <w:lang w:val="en-GB"/>
        </w:rPr>
        <w:tab/>
        <w:t xml:space="preserve">It is indicated that local procurement increased to $16.5 million in 2024/25, engaging the services of over 100 vendors, including 20 under long-term agreements (ibid., para. 18). Upon enquiry, the Advisory Committee was informed that local procurement amounted to $13.6 million in 2023/24 and, as at 28 February 2026, had increased to $16.9 million during the current period. The Committee was informed that MINUSCA employs a structured strategy to source goods and services locally in line with operational requirements, including targeted outreach and vendor development initiatives, to broaden the supplier base and to improve compliance with United Nations procurement policies. </w:t>
      </w:r>
      <w:r w:rsidRPr="00B9254C">
        <w:rPr>
          <w:b/>
          <w:bCs/>
          <w:lang w:val="en-GB"/>
        </w:rPr>
        <w:t>The Advisory Committee acknowledges the outreach activities by MINUSCA to local vendors and the results achieved therein and encourages the Mission to continue its efforts in that regard. The Committee trusts that lessons learned and best practices will be shared with other Missions, as appropriate.</w:t>
      </w:r>
      <w:r w:rsidRPr="00B9254C">
        <w:rPr>
          <w:lang w:val="en-GB"/>
        </w:rPr>
        <w:t xml:space="preserve"> </w:t>
      </w:r>
    </w:p>
    <w:p w14:paraId="49FD56F8" w14:textId="77777777" w:rsidR="00D87DC9" w:rsidRPr="00B9254C" w:rsidRDefault="00D87DC9" w:rsidP="00697ECA">
      <w:pPr>
        <w:pStyle w:val="SingleTxt"/>
        <w:spacing w:after="0" w:line="120" w:lineRule="exact"/>
        <w:rPr>
          <w:sz w:val="10"/>
          <w:lang w:val="en-GB"/>
        </w:rPr>
      </w:pPr>
    </w:p>
    <w:p w14:paraId="16FE544B" w14:textId="1CDDD385"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Management of sea containers</w:t>
      </w:r>
    </w:p>
    <w:p w14:paraId="35F47FD0" w14:textId="77777777" w:rsidR="00D87DC9" w:rsidRPr="00B9254C" w:rsidRDefault="00D87DC9" w:rsidP="00697ECA">
      <w:pPr>
        <w:pStyle w:val="SingleTxt"/>
        <w:spacing w:after="0" w:line="120" w:lineRule="exact"/>
        <w:rPr>
          <w:sz w:val="10"/>
          <w:lang w:val="en-GB"/>
        </w:rPr>
      </w:pPr>
    </w:p>
    <w:p w14:paraId="7FD81BBC" w14:textId="77777777" w:rsidR="00D87DC9" w:rsidRPr="00B9254C" w:rsidRDefault="00D87DC9" w:rsidP="00D87DC9">
      <w:pPr>
        <w:pStyle w:val="SingleTxt"/>
        <w:rPr>
          <w:lang w:val="en-GB"/>
        </w:rPr>
      </w:pPr>
      <w:r w:rsidRPr="00B9254C">
        <w:rPr>
          <w:lang w:val="en-GB"/>
        </w:rPr>
        <w:t>60.</w:t>
      </w:r>
      <w:r w:rsidRPr="00B9254C">
        <w:rPr>
          <w:lang w:val="en-GB"/>
        </w:rPr>
        <w:tab/>
        <w:t>Upon enquiry, the Advisory Committee was informed that, as at 31 January 2026, MINUSCA held 6,385 sea containers, with 5,939 containers in operational use (including 869 containers used for storage, temporary accommodation, workshops and specialized operations, for example, warehousing and operational and security functions) and 446 containers held in reserve. Structurally sound written-off containers are repurposed for perimeter protection and observation posts, generating cost avoidance, which reduces the need for additional security infrastructure procurement and related costs. The Committee was also informed that MINUSCA manages its sea containers under established asset control procedures from receipt through disposal. The inventory of sea containers used for storage is managed and tracked separately in Umoja using designated bin locations, and related contents suitable for containerized storage include engineering and supply commodities, vehicle spare parts, tools and equipment suitable for containerized storage.</w:t>
      </w:r>
    </w:p>
    <w:p w14:paraId="20ACFEF3" w14:textId="77777777" w:rsidR="00D87DC9" w:rsidRPr="00B9254C" w:rsidRDefault="00D87DC9" w:rsidP="00697ECA">
      <w:pPr>
        <w:pStyle w:val="SingleTxt"/>
        <w:spacing w:after="0" w:line="120" w:lineRule="exact"/>
        <w:rPr>
          <w:sz w:val="10"/>
          <w:lang w:val="en-GB"/>
        </w:rPr>
      </w:pPr>
    </w:p>
    <w:p w14:paraId="27BD694D" w14:textId="30BF7072"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Equitable geographical representation and gender parity</w:t>
      </w:r>
    </w:p>
    <w:p w14:paraId="287D6B37" w14:textId="77777777" w:rsidR="00D87DC9" w:rsidRPr="00B9254C" w:rsidRDefault="00D87DC9" w:rsidP="00697ECA">
      <w:pPr>
        <w:pStyle w:val="SingleTxt"/>
        <w:spacing w:after="0" w:line="120" w:lineRule="exact"/>
        <w:rPr>
          <w:sz w:val="10"/>
          <w:lang w:val="en-GB"/>
        </w:rPr>
      </w:pPr>
    </w:p>
    <w:p w14:paraId="4AF12560" w14:textId="1EE40A41" w:rsidR="00D87DC9" w:rsidRPr="00B9254C" w:rsidRDefault="00D87DC9" w:rsidP="003046F9">
      <w:pPr>
        <w:pStyle w:val="SingleTxt"/>
        <w:rPr>
          <w:lang w:val="en-GB"/>
        </w:rPr>
      </w:pPr>
      <w:r w:rsidRPr="00B9254C">
        <w:rPr>
          <w:lang w:val="en-GB"/>
        </w:rPr>
        <w:t>61.</w:t>
      </w:r>
      <w:r w:rsidRPr="00B9254C">
        <w:rPr>
          <w:lang w:val="en-GB"/>
        </w:rPr>
        <w:tab/>
        <w:t>Upon enquiry, the Advisory Committee was informed that, as at 31 December 2025, MINUSCA comprised 1,233 staff at all levels. Among the 669 international staff, 92 nationalities were represented. Of the 1,233 staff, 886 (72 per cent) were male and 347 (28 per cent) were female.</w:t>
      </w:r>
      <w:r w:rsidR="00697ECA" w:rsidRPr="00B9254C">
        <w:rPr>
          <w:rStyle w:val="FootnoteReference"/>
          <w:lang w:val="en-GB"/>
        </w:rPr>
        <w:footnoteReference w:id="2"/>
      </w:r>
    </w:p>
    <w:p w14:paraId="78B6217F" w14:textId="41D3E22A" w:rsidR="00D87DC9" w:rsidRPr="00B9254C" w:rsidRDefault="00D87DC9" w:rsidP="00C57469">
      <w:pPr>
        <w:pStyle w:val="SingleTxt"/>
        <w:spacing w:line="232" w:lineRule="exact"/>
        <w:rPr>
          <w:lang w:val="en-GB"/>
        </w:rPr>
      </w:pPr>
      <w:r w:rsidRPr="00B9254C">
        <w:rPr>
          <w:lang w:val="en-GB"/>
        </w:rPr>
        <w:t>62.</w:t>
      </w:r>
      <w:r w:rsidRPr="00B9254C">
        <w:rPr>
          <w:lang w:val="en-GB"/>
        </w:rPr>
        <w:tab/>
        <w:t xml:space="preserve">As at 31 December 2025, international MINUSCA staff were from the following regional groups: African States (397); Asia-Pacific States (83); Eastern European States (37); Latin American and Caribbean States (42); Western European and other States (85); as well as from the United States of America (22) and other States (3). </w:t>
      </w:r>
    </w:p>
    <w:p w14:paraId="7E2FF54D" w14:textId="60FA6DDB" w:rsidR="00D87DC9" w:rsidRPr="00B9254C" w:rsidRDefault="00D87DC9" w:rsidP="00C57469">
      <w:pPr>
        <w:pStyle w:val="SingleTxt"/>
        <w:spacing w:line="232" w:lineRule="exact"/>
        <w:rPr>
          <w:lang w:val="en-GB"/>
        </w:rPr>
      </w:pPr>
      <w:r w:rsidRPr="00B9254C">
        <w:rPr>
          <w:lang w:val="en-GB"/>
        </w:rPr>
        <w:t>63.</w:t>
      </w:r>
      <w:r w:rsidRPr="00B9254C">
        <w:rPr>
          <w:lang w:val="en-GB"/>
        </w:rPr>
        <w:tab/>
      </w:r>
      <w:r w:rsidRPr="00B9254C">
        <w:rPr>
          <w:b/>
          <w:bCs/>
          <w:lang w:val="en-GB"/>
        </w:rPr>
        <w:t>The Advisory Committee trusts that MINUSCA will further increase its efforts to promote equitable geographical representation and gender parity.</w:t>
      </w:r>
      <w:r w:rsidRPr="00B9254C">
        <w:rPr>
          <w:lang w:val="en-GB"/>
        </w:rPr>
        <w:t xml:space="preserve"> The Committee discusses equitable geographical representation and gender parity in its report on cross-cutting issues related to peacekeeping operations (</w:t>
      </w:r>
      <w:hyperlink r:id="rId50" w:history="1">
        <w:r w:rsidRPr="00B9254C">
          <w:rPr>
            <w:rStyle w:val="Hyperlink"/>
            <w:lang w:val="en-GB"/>
          </w:rPr>
          <w:t>A/80/604</w:t>
        </w:r>
      </w:hyperlink>
      <w:r w:rsidRPr="00B9254C">
        <w:rPr>
          <w:lang w:val="en-GB"/>
        </w:rPr>
        <w:t>).</w:t>
      </w:r>
    </w:p>
    <w:p w14:paraId="10E28808" w14:textId="77777777" w:rsidR="00D87DC9" w:rsidRPr="00B9254C" w:rsidRDefault="00D87DC9" w:rsidP="00697ECA">
      <w:pPr>
        <w:pStyle w:val="SingleTxt"/>
        <w:spacing w:after="0" w:line="120" w:lineRule="exact"/>
        <w:rPr>
          <w:sz w:val="10"/>
          <w:lang w:val="en-GB"/>
        </w:rPr>
      </w:pPr>
    </w:p>
    <w:p w14:paraId="5D895486" w14:textId="511CDC4E" w:rsidR="00D87DC9" w:rsidRPr="00B9254C" w:rsidRDefault="00697ECA" w:rsidP="00697E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Pr="00B9254C">
        <w:rPr>
          <w:lang w:val="en-GB"/>
        </w:rPr>
        <w:tab/>
      </w:r>
      <w:r w:rsidR="00D87DC9" w:rsidRPr="00B9254C">
        <w:rPr>
          <w:lang w:val="en-GB"/>
        </w:rPr>
        <w:t>Sexual exploitation and abuse</w:t>
      </w:r>
    </w:p>
    <w:p w14:paraId="787C8CAA" w14:textId="77777777" w:rsidR="00D87DC9" w:rsidRPr="00B9254C" w:rsidRDefault="00D87DC9" w:rsidP="00697ECA">
      <w:pPr>
        <w:pStyle w:val="SingleTxt"/>
        <w:spacing w:after="0" w:line="120" w:lineRule="exact"/>
        <w:rPr>
          <w:sz w:val="10"/>
          <w:lang w:val="en-GB"/>
        </w:rPr>
      </w:pPr>
    </w:p>
    <w:p w14:paraId="5D2D5CDA" w14:textId="20A5DB42" w:rsidR="00D87DC9" w:rsidRPr="00B9254C" w:rsidRDefault="00D87DC9" w:rsidP="00C57469">
      <w:pPr>
        <w:pStyle w:val="SingleTxt"/>
        <w:spacing w:line="232" w:lineRule="exact"/>
        <w:rPr>
          <w:lang w:val="en-GB"/>
        </w:rPr>
      </w:pPr>
      <w:r w:rsidRPr="00B9254C">
        <w:rPr>
          <w:lang w:val="en-GB"/>
        </w:rPr>
        <w:t>64.</w:t>
      </w:r>
      <w:r w:rsidRPr="00B9254C">
        <w:rPr>
          <w:lang w:val="en-GB"/>
        </w:rPr>
        <w:tab/>
        <w:t>Upon enquiry, the Advisory Committee was informed that, between 2020 and 2025, 177 allegations of sexual exploitation and abuse were reported, including 20 allegations in 2025. A total of 86 cases remain pending final resolution. The Committee was also informed that, to ensure continuity of investigative and accountability mechanisms after its departure, MINUSCA is employing a range of preventative measures. The Committee further addresses the subject in its report on special measures for protection from sexual exploitation and abuse (</w:t>
      </w:r>
      <w:hyperlink r:id="rId51" w:history="1">
        <w:r w:rsidRPr="00B9254C">
          <w:rPr>
            <w:rStyle w:val="Hyperlink"/>
            <w:lang w:val="en-GB"/>
          </w:rPr>
          <w:t>A/80/691</w:t>
        </w:r>
      </w:hyperlink>
      <w:r w:rsidRPr="00B9254C">
        <w:rPr>
          <w:lang w:val="en-GB"/>
        </w:rPr>
        <w:t xml:space="preserve">). </w:t>
      </w:r>
      <w:r w:rsidRPr="00B9254C">
        <w:rPr>
          <w:b/>
          <w:bCs/>
          <w:lang w:val="en-GB"/>
        </w:rPr>
        <w:t>The Advisory Committee trusts that the Mission will continue to pursue its efforts to prevent sexual exploitation and abuse, ensure the accountability of perpetrators and provide protection and support to the victims, and that information thereon will be provided in future reports.</w:t>
      </w:r>
    </w:p>
    <w:p w14:paraId="30500438" w14:textId="77777777" w:rsidR="00D87DC9" w:rsidRPr="00B9254C" w:rsidRDefault="00D87DC9" w:rsidP="00C57469">
      <w:pPr>
        <w:pStyle w:val="SingleTxt"/>
        <w:spacing w:after="0" w:line="100" w:lineRule="exact"/>
        <w:rPr>
          <w:sz w:val="10"/>
          <w:lang w:val="en-GB"/>
        </w:rPr>
      </w:pPr>
    </w:p>
    <w:p w14:paraId="3C261D70" w14:textId="77777777" w:rsidR="003046F9" w:rsidRPr="00B9254C" w:rsidRDefault="003046F9" w:rsidP="00C57469">
      <w:pPr>
        <w:pStyle w:val="SingleTxt"/>
        <w:spacing w:after="0" w:line="100" w:lineRule="exact"/>
        <w:rPr>
          <w:sz w:val="10"/>
          <w:lang w:val="en-GB"/>
        </w:rPr>
      </w:pPr>
    </w:p>
    <w:p w14:paraId="08BE96D6" w14:textId="4B354D9E" w:rsidR="00D87DC9" w:rsidRPr="00B9254C" w:rsidRDefault="003046F9" w:rsidP="003046F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9254C">
        <w:rPr>
          <w:lang w:val="en-GB"/>
        </w:rPr>
        <w:tab/>
      </w:r>
      <w:r w:rsidR="00D87DC9" w:rsidRPr="00B9254C">
        <w:rPr>
          <w:lang w:val="en-GB"/>
        </w:rPr>
        <w:t>VI.</w:t>
      </w:r>
      <w:r w:rsidR="00D87DC9" w:rsidRPr="00B9254C">
        <w:rPr>
          <w:lang w:val="en-GB"/>
        </w:rPr>
        <w:tab/>
        <w:t>Conclusion</w:t>
      </w:r>
    </w:p>
    <w:p w14:paraId="12AD55F4" w14:textId="77777777" w:rsidR="00D87DC9" w:rsidRPr="00B9254C" w:rsidRDefault="00D87DC9" w:rsidP="00C57469">
      <w:pPr>
        <w:pStyle w:val="SingleTxt"/>
        <w:spacing w:after="0" w:line="100" w:lineRule="exact"/>
        <w:rPr>
          <w:sz w:val="10"/>
          <w:lang w:val="en-GB"/>
        </w:rPr>
      </w:pPr>
    </w:p>
    <w:p w14:paraId="0286DC9D" w14:textId="77777777" w:rsidR="003046F9" w:rsidRPr="00B9254C" w:rsidRDefault="003046F9" w:rsidP="00C57469">
      <w:pPr>
        <w:pStyle w:val="SingleTxt"/>
        <w:spacing w:after="0" w:line="100" w:lineRule="exact"/>
        <w:rPr>
          <w:sz w:val="10"/>
          <w:lang w:val="en-GB"/>
        </w:rPr>
      </w:pPr>
    </w:p>
    <w:p w14:paraId="5A0A1482" w14:textId="554830A1" w:rsidR="00D87DC9" w:rsidRPr="00B9254C" w:rsidRDefault="00D87DC9" w:rsidP="00C57469">
      <w:pPr>
        <w:pStyle w:val="SingleTxt"/>
        <w:spacing w:line="232" w:lineRule="exact"/>
        <w:rPr>
          <w:lang w:val="en-GB"/>
        </w:rPr>
      </w:pPr>
      <w:r w:rsidRPr="00B9254C">
        <w:rPr>
          <w:lang w:val="en-GB"/>
        </w:rPr>
        <w:t>65.</w:t>
      </w:r>
      <w:r w:rsidRPr="00B9254C">
        <w:rPr>
          <w:lang w:val="en-GB"/>
        </w:rPr>
        <w:tab/>
        <w:t>The actions to be taken by the General Assembly with regard to the financing of MINUSCA from 1 July 2024 to 30 June 2025 are indicated in section IV of the report of the Secretary-General (</w:t>
      </w:r>
      <w:hyperlink r:id="rId52" w:history="1">
        <w:r w:rsidRPr="00B9254C">
          <w:rPr>
            <w:rStyle w:val="Hyperlink"/>
            <w:lang w:val="en-GB"/>
          </w:rPr>
          <w:t>A/80/623</w:t>
        </w:r>
      </w:hyperlink>
      <w:r w:rsidRPr="00B9254C">
        <w:rPr>
          <w:lang w:val="en-GB"/>
        </w:rPr>
        <w:t xml:space="preserve">). </w:t>
      </w:r>
      <w:r w:rsidRPr="00B9254C">
        <w:rPr>
          <w:b/>
          <w:bCs/>
          <w:lang w:val="en-GB"/>
        </w:rPr>
        <w:t xml:space="preserve">The Advisory Committee notes the unencumbered balance of $25,350,600 for the period from 1 July 2024 to 30 June 2025, as well as other revenue amounting to $21,749,200 from investment </w:t>
      </w:r>
      <w:r w:rsidRPr="00B9254C">
        <w:rPr>
          <w:b/>
          <w:bCs/>
          <w:spacing w:val="2"/>
          <w:lang w:val="en-GB"/>
        </w:rPr>
        <w:t>revenue ($11,502,200), other/miscellaneous revenue ($811,500) and the cancellation</w:t>
      </w:r>
      <w:r w:rsidRPr="00B9254C">
        <w:rPr>
          <w:b/>
          <w:bCs/>
          <w:lang w:val="en-GB"/>
        </w:rPr>
        <w:t xml:space="preserve"> of prior-period obligations ($9,435,500) for the period ended 30 June 2025. The Committee also notes the proposal of the Secretary-General to place the credits arising from the above-mentioned revenue and adjustments into a reserve that would be used in the event that collections are insufficient to enable the full, efficient and effective implementation of mandates. The Committee considers that this is a policy matter to be decided by the General Assembly.</w:t>
      </w:r>
      <w:r w:rsidRPr="00B9254C">
        <w:rPr>
          <w:lang w:val="en-GB"/>
        </w:rPr>
        <w:t xml:space="preserve"> The Committee makes further comments in its report on cross-cutting issues related to peacekeeping operations (</w:t>
      </w:r>
      <w:hyperlink r:id="rId53" w:history="1">
        <w:r w:rsidRPr="00B9254C">
          <w:rPr>
            <w:rStyle w:val="Hyperlink"/>
            <w:lang w:val="en-GB"/>
          </w:rPr>
          <w:t>A/80/604</w:t>
        </w:r>
      </w:hyperlink>
      <w:r w:rsidRPr="00B9254C">
        <w:rPr>
          <w:lang w:val="en-GB"/>
        </w:rPr>
        <w:t>).</w:t>
      </w:r>
    </w:p>
    <w:p w14:paraId="4FC19E63" w14:textId="094E4153" w:rsidR="00D87DC9" w:rsidRPr="00B9254C" w:rsidRDefault="00D87DC9" w:rsidP="00C57469">
      <w:pPr>
        <w:pStyle w:val="SingleTxt"/>
        <w:spacing w:line="232" w:lineRule="exact"/>
        <w:rPr>
          <w:spacing w:val="2"/>
          <w:w w:val="102"/>
          <w:lang w:val="en-GB"/>
        </w:rPr>
      </w:pPr>
      <w:r w:rsidRPr="00B9254C">
        <w:rPr>
          <w:spacing w:val="2"/>
          <w:w w:val="102"/>
          <w:lang w:val="en-GB"/>
        </w:rPr>
        <w:t>66.</w:t>
      </w:r>
      <w:r w:rsidRPr="00B9254C">
        <w:rPr>
          <w:spacing w:val="2"/>
          <w:w w:val="102"/>
          <w:lang w:val="en-GB"/>
        </w:rPr>
        <w:tab/>
        <w:t xml:space="preserve">The actions to be taken by the General Assembly with regard to the financing of MINUSCA for the period from 1 July 2026 to 30 June 2027 are indicated in section IV </w:t>
      </w:r>
      <w:r w:rsidRPr="00B9254C">
        <w:rPr>
          <w:lang w:val="en-GB"/>
        </w:rPr>
        <w:t>of the report of the Secretary-General (</w:t>
      </w:r>
      <w:hyperlink r:id="rId54" w:history="1">
        <w:r w:rsidRPr="00B9254C">
          <w:rPr>
            <w:rStyle w:val="Hyperlink"/>
            <w:lang w:val="en-GB"/>
          </w:rPr>
          <w:t>A/80/623</w:t>
        </w:r>
      </w:hyperlink>
      <w:r w:rsidRPr="00B9254C">
        <w:rPr>
          <w:lang w:val="en-GB"/>
        </w:rPr>
        <w:t xml:space="preserve">). </w:t>
      </w:r>
      <w:r w:rsidRPr="00B9254C">
        <w:rPr>
          <w:b/>
          <w:bCs/>
          <w:lang w:val="en-GB"/>
        </w:rPr>
        <w:t>Taking into account its observations</w:t>
      </w:r>
      <w:r w:rsidRPr="00B9254C">
        <w:rPr>
          <w:b/>
          <w:bCs/>
          <w:spacing w:val="2"/>
          <w:w w:val="102"/>
          <w:lang w:val="en-GB"/>
        </w:rPr>
        <w:t xml:space="preserve"> </w:t>
      </w:r>
      <w:r w:rsidRPr="00B9254C">
        <w:rPr>
          <w:rFonts w:ascii="Times New Roman Bold" w:hAnsi="Times New Roman Bold" w:cs="Times New Roman Bold"/>
          <w:b/>
          <w:bCs/>
          <w:lang w:val="en-GB"/>
        </w:rPr>
        <w:t>and recommendations above, the Advisory Committee recommends that the proposed</w:t>
      </w:r>
      <w:r w:rsidRPr="00B9254C">
        <w:rPr>
          <w:b/>
          <w:bCs/>
          <w:spacing w:val="2"/>
          <w:w w:val="102"/>
          <w:lang w:val="en-GB"/>
        </w:rPr>
        <w:t xml:space="preserve"> resources be reduced by $2,629,300, from $1,021,635,400 to </w:t>
      </w:r>
      <w:r w:rsidRPr="00B9254C">
        <w:rPr>
          <w:rFonts w:ascii="Times New Roman Bold" w:hAnsi="Times New Roman Bold" w:cs="Times New Roman Bold"/>
          <w:b/>
          <w:bCs/>
          <w:lang w:val="en-GB"/>
        </w:rPr>
        <w:t>$1,019,006,100. Accordingly, the Committee recommends that the General Assembly</w:t>
      </w:r>
      <w:r w:rsidRPr="00B9254C">
        <w:rPr>
          <w:b/>
          <w:bCs/>
          <w:spacing w:val="2"/>
          <w:w w:val="102"/>
          <w:lang w:val="en-GB"/>
        </w:rPr>
        <w:t xml:space="preserve"> appropriate the amount of $1,019,006,100 for the maintenance of the Mission for the 12-month period from 1 July 2026 to 30 June 2027.</w:t>
      </w:r>
      <w:r w:rsidRPr="00B9254C">
        <w:rPr>
          <w:spacing w:val="2"/>
          <w:w w:val="102"/>
          <w:lang w:val="en-GB"/>
        </w:rPr>
        <w:t xml:space="preserve"> A summary of the budgetary impact and the financial implications resulting from the recommendations of the Advisory Committee with regard to the financing of MINUSCA for the period from 1 July 2026 to 30 June 2027 is presented in table 3 below.</w:t>
      </w:r>
    </w:p>
    <w:p w14:paraId="51E609AA" w14:textId="77777777" w:rsidR="00D87DC9" w:rsidRPr="00B9254C" w:rsidRDefault="00D87DC9" w:rsidP="00697ECA">
      <w:pPr>
        <w:pStyle w:val="SingleTxt"/>
        <w:spacing w:after="0" w:line="120" w:lineRule="exact"/>
        <w:rPr>
          <w:sz w:val="10"/>
          <w:lang w:val="en-GB"/>
        </w:rPr>
      </w:pPr>
    </w:p>
    <w:p w14:paraId="010DA676" w14:textId="3A41264C" w:rsidR="00D87DC9" w:rsidRPr="00B9254C" w:rsidRDefault="00D017AF" w:rsidP="00D0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9254C">
        <w:rPr>
          <w:lang w:val="en-GB"/>
        </w:rPr>
        <w:tab/>
      </w:r>
      <w:r w:rsidRPr="00B9254C">
        <w:rPr>
          <w:lang w:val="en-GB"/>
        </w:rPr>
        <w:tab/>
      </w:r>
      <w:r w:rsidR="00D87DC9" w:rsidRPr="00B9254C">
        <w:rPr>
          <w:b w:val="0"/>
          <w:bCs/>
          <w:lang w:val="en-GB"/>
        </w:rPr>
        <w:t>Table 3</w:t>
      </w:r>
    </w:p>
    <w:p w14:paraId="03B7BF55" w14:textId="33CCB41A" w:rsidR="00D87DC9" w:rsidRPr="00B9254C" w:rsidRDefault="00D017AF" w:rsidP="00861A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B9254C">
        <w:rPr>
          <w:lang w:val="en-GB"/>
        </w:rPr>
        <w:tab/>
      </w:r>
      <w:r w:rsidRPr="00B9254C">
        <w:rPr>
          <w:lang w:val="en-GB"/>
        </w:rPr>
        <w:tab/>
      </w:r>
      <w:r w:rsidR="00D87DC9" w:rsidRPr="00B9254C">
        <w:rPr>
          <w:lang w:val="en-GB"/>
        </w:rPr>
        <w:t>Budgetary impact and financial implications resulting from the recommendations of the Advisory Committee for United Nations Multidimensional Integrated Stabilization Mission in the Central African Republic for the period from 1 July 2026 to 30 June 2027</w:t>
      </w:r>
    </w:p>
    <w:p w14:paraId="6A652BAA" w14:textId="77777777" w:rsidR="00697ECA" w:rsidRPr="00B9254C" w:rsidRDefault="00697ECA" w:rsidP="00697ECA">
      <w:pPr>
        <w:pStyle w:val="SingleTxt"/>
        <w:spacing w:after="0" w:line="120" w:lineRule="exact"/>
        <w:rPr>
          <w:sz w:val="10"/>
          <w:lang w:val="en-GB"/>
        </w:rPr>
      </w:pPr>
    </w:p>
    <w:p w14:paraId="7AC2E465" w14:textId="77777777" w:rsidR="00697ECA" w:rsidRPr="00B9254C" w:rsidRDefault="00697ECA" w:rsidP="00697ECA">
      <w:pPr>
        <w:pStyle w:val="SingleTxt"/>
        <w:spacing w:after="0" w:line="120" w:lineRule="exact"/>
        <w:rPr>
          <w:sz w:val="10"/>
          <w:lang w:val="en-GB"/>
        </w:rPr>
      </w:pPr>
    </w:p>
    <w:tbl>
      <w:tblPr>
        <w:tblStyle w:val="TableGrid"/>
        <w:tblW w:w="863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1350"/>
        <w:gridCol w:w="2970"/>
        <w:gridCol w:w="1620"/>
      </w:tblGrid>
      <w:tr w:rsidR="00697ECA" w:rsidRPr="00203135" w14:paraId="228FA30F" w14:textId="77777777" w:rsidTr="00861ACD">
        <w:trPr>
          <w:tblHeader/>
        </w:trPr>
        <w:tc>
          <w:tcPr>
            <w:tcW w:w="2693" w:type="dxa"/>
            <w:tcBorders>
              <w:top w:val="single" w:sz="4" w:space="0" w:color="auto"/>
              <w:bottom w:val="single" w:sz="12" w:space="0" w:color="auto"/>
            </w:tcBorders>
            <w:vAlign w:val="bottom"/>
          </w:tcPr>
          <w:p w14:paraId="329D95B2"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B9254C">
              <w:rPr>
                <w:i/>
                <w:sz w:val="14"/>
                <w:lang w:val="en-GB"/>
              </w:rPr>
              <w:t>Category</w:t>
            </w:r>
          </w:p>
        </w:tc>
        <w:tc>
          <w:tcPr>
            <w:tcW w:w="1350" w:type="dxa"/>
            <w:tcBorders>
              <w:top w:val="single" w:sz="4" w:space="0" w:color="auto"/>
              <w:bottom w:val="single" w:sz="12" w:space="0" w:color="auto"/>
            </w:tcBorders>
            <w:vAlign w:val="bottom"/>
          </w:tcPr>
          <w:p w14:paraId="6284AB2C" w14:textId="5E7A744F" w:rsidR="00697ECA" w:rsidRPr="00B9254C" w:rsidRDefault="00697ECA" w:rsidP="00861A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9254C">
              <w:rPr>
                <w:i/>
                <w:sz w:val="14"/>
                <w:lang w:val="en-GB"/>
              </w:rPr>
              <w:t>Paragraph number (present</w:t>
            </w:r>
            <w:r w:rsidR="00861ACD" w:rsidRPr="00B9254C">
              <w:rPr>
                <w:i/>
                <w:sz w:val="14"/>
                <w:lang w:val="en-GB"/>
              </w:rPr>
              <w:t> </w:t>
            </w:r>
            <w:r w:rsidRPr="00B9254C">
              <w:rPr>
                <w:i/>
                <w:sz w:val="14"/>
                <w:lang w:val="en-GB"/>
              </w:rPr>
              <w:t>report)</w:t>
            </w:r>
          </w:p>
        </w:tc>
        <w:tc>
          <w:tcPr>
            <w:tcW w:w="2970" w:type="dxa"/>
            <w:tcBorders>
              <w:top w:val="single" w:sz="4" w:space="0" w:color="auto"/>
              <w:bottom w:val="single" w:sz="12" w:space="0" w:color="auto"/>
            </w:tcBorders>
            <w:vAlign w:val="bottom"/>
          </w:tcPr>
          <w:p w14:paraId="16A7AB33"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9254C">
              <w:rPr>
                <w:i/>
                <w:sz w:val="14"/>
                <w:lang w:val="en-GB"/>
              </w:rPr>
              <w:t>Recommendation of the Advisory Committee</w:t>
            </w:r>
          </w:p>
        </w:tc>
        <w:tc>
          <w:tcPr>
            <w:tcW w:w="1620" w:type="dxa"/>
            <w:tcBorders>
              <w:top w:val="single" w:sz="4" w:space="0" w:color="auto"/>
              <w:bottom w:val="single" w:sz="12" w:space="0" w:color="auto"/>
            </w:tcBorders>
            <w:vAlign w:val="bottom"/>
          </w:tcPr>
          <w:p w14:paraId="395F92C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9254C">
              <w:rPr>
                <w:i/>
                <w:sz w:val="14"/>
                <w:lang w:val="en-GB"/>
              </w:rPr>
              <w:t>Financial implication (United States dollars)</w:t>
            </w:r>
          </w:p>
        </w:tc>
      </w:tr>
      <w:tr w:rsidR="00697ECA" w:rsidRPr="00203135" w14:paraId="3DCD4315" w14:textId="77777777" w:rsidTr="00861ACD">
        <w:trPr>
          <w:trHeight w:hRule="exact" w:val="115"/>
          <w:tblHeader/>
        </w:trPr>
        <w:tc>
          <w:tcPr>
            <w:tcW w:w="2693" w:type="dxa"/>
            <w:tcBorders>
              <w:top w:val="single" w:sz="12" w:space="0" w:color="auto"/>
            </w:tcBorders>
            <w:vAlign w:val="bottom"/>
          </w:tcPr>
          <w:p w14:paraId="3F5B0AD0"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350" w:type="dxa"/>
            <w:tcBorders>
              <w:top w:val="single" w:sz="12" w:space="0" w:color="auto"/>
            </w:tcBorders>
            <w:vAlign w:val="bottom"/>
          </w:tcPr>
          <w:p w14:paraId="22BA939F"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2970" w:type="dxa"/>
            <w:tcBorders>
              <w:top w:val="single" w:sz="12" w:space="0" w:color="auto"/>
            </w:tcBorders>
            <w:vAlign w:val="bottom"/>
          </w:tcPr>
          <w:p w14:paraId="6ABE0E3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1620" w:type="dxa"/>
            <w:tcBorders>
              <w:top w:val="single" w:sz="12" w:space="0" w:color="auto"/>
            </w:tcBorders>
            <w:vAlign w:val="bottom"/>
          </w:tcPr>
          <w:p w14:paraId="1834D49D"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697ECA" w:rsidRPr="00B9254C" w14:paraId="43B73A7C" w14:textId="77777777" w:rsidTr="00861ACD">
        <w:tc>
          <w:tcPr>
            <w:tcW w:w="2693" w:type="dxa"/>
            <w:vAlign w:val="bottom"/>
          </w:tcPr>
          <w:p w14:paraId="7B6F2F17"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B9254C">
              <w:rPr>
                <w:b/>
                <w:bCs/>
                <w:sz w:val="17"/>
                <w:lang w:val="en-GB"/>
              </w:rPr>
              <w:t>Operational costs</w:t>
            </w:r>
          </w:p>
        </w:tc>
        <w:tc>
          <w:tcPr>
            <w:tcW w:w="1350" w:type="dxa"/>
            <w:vAlign w:val="bottom"/>
          </w:tcPr>
          <w:p w14:paraId="736E91D8"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2970" w:type="dxa"/>
            <w:vAlign w:val="bottom"/>
          </w:tcPr>
          <w:p w14:paraId="73DDFB7C"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GB"/>
              </w:rPr>
            </w:pPr>
          </w:p>
        </w:tc>
        <w:tc>
          <w:tcPr>
            <w:tcW w:w="1620" w:type="dxa"/>
            <w:vAlign w:val="bottom"/>
          </w:tcPr>
          <w:p w14:paraId="2605B32B"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697ECA" w:rsidRPr="00B9254C" w14:paraId="31025230" w14:textId="77777777" w:rsidTr="00861ACD">
        <w:tc>
          <w:tcPr>
            <w:tcW w:w="2693" w:type="dxa"/>
            <w:vAlign w:val="bottom"/>
          </w:tcPr>
          <w:p w14:paraId="674B73EC"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B9254C">
              <w:rPr>
                <w:sz w:val="17"/>
                <w:lang w:val="en-GB"/>
              </w:rPr>
              <w:t>Consultants and consulting services</w:t>
            </w:r>
          </w:p>
        </w:tc>
        <w:tc>
          <w:tcPr>
            <w:tcW w:w="1350" w:type="dxa"/>
            <w:vAlign w:val="bottom"/>
          </w:tcPr>
          <w:p w14:paraId="54AB0C82"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B9254C">
              <w:rPr>
                <w:sz w:val="17"/>
                <w:lang w:val="en-GB"/>
              </w:rPr>
              <w:t>42</w:t>
            </w:r>
          </w:p>
        </w:tc>
        <w:tc>
          <w:tcPr>
            <w:tcW w:w="2970" w:type="dxa"/>
            <w:vAlign w:val="bottom"/>
          </w:tcPr>
          <w:p w14:paraId="410BC705"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GB"/>
              </w:rPr>
            </w:pPr>
            <w:r w:rsidRPr="00B9254C">
              <w:rPr>
                <w:sz w:val="17"/>
                <w:lang w:val="en-GB"/>
              </w:rPr>
              <w:t>Reduction of 10 per cent</w:t>
            </w:r>
          </w:p>
        </w:tc>
        <w:tc>
          <w:tcPr>
            <w:tcW w:w="1620" w:type="dxa"/>
            <w:vAlign w:val="bottom"/>
          </w:tcPr>
          <w:p w14:paraId="7BDEE4F4" w14:textId="527D435E"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B9254C">
              <w:rPr>
                <w:sz w:val="17"/>
                <w:lang w:val="en-GB"/>
              </w:rPr>
              <w:t>(43 600)</w:t>
            </w:r>
          </w:p>
        </w:tc>
      </w:tr>
      <w:tr w:rsidR="00697ECA" w:rsidRPr="00B9254C" w14:paraId="033C8C03" w14:textId="77777777" w:rsidTr="00861ACD">
        <w:tc>
          <w:tcPr>
            <w:tcW w:w="2693" w:type="dxa"/>
            <w:vAlign w:val="bottom"/>
          </w:tcPr>
          <w:p w14:paraId="4117C47E"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B9254C">
              <w:rPr>
                <w:sz w:val="17"/>
                <w:lang w:val="en-GB"/>
              </w:rPr>
              <w:t>Official travel</w:t>
            </w:r>
          </w:p>
        </w:tc>
        <w:tc>
          <w:tcPr>
            <w:tcW w:w="1350" w:type="dxa"/>
            <w:vAlign w:val="bottom"/>
          </w:tcPr>
          <w:p w14:paraId="47D9F36F"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B9254C">
              <w:rPr>
                <w:sz w:val="17"/>
                <w:lang w:val="en-GB"/>
              </w:rPr>
              <w:t>45</w:t>
            </w:r>
          </w:p>
        </w:tc>
        <w:tc>
          <w:tcPr>
            <w:tcW w:w="2970" w:type="dxa"/>
            <w:vAlign w:val="bottom"/>
          </w:tcPr>
          <w:p w14:paraId="0F5CC51D" w14:textId="77777777"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GB"/>
              </w:rPr>
            </w:pPr>
            <w:r w:rsidRPr="00B9254C">
              <w:rPr>
                <w:sz w:val="17"/>
                <w:lang w:val="en-GB"/>
              </w:rPr>
              <w:t>Reduction of 20 per cent</w:t>
            </w:r>
          </w:p>
        </w:tc>
        <w:tc>
          <w:tcPr>
            <w:tcW w:w="1620" w:type="dxa"/>
            <w:vAlign w:val="bottom"/>
          </w:tcPr>
          <w:p w14:paraId="7502B090" w14:textId="32B5C202"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B9254C">
              <w:rPr>
                <w:sz w:val="17"/>
                <w:lang w:val="en-GB"/>
              </w:rPr>
              <w:t>(260 800)</w:t>
            </w:r>
          </w:p>
        </w:tc>
      </w:tr>
      <w:tr w:rsidR="00697ECA" w:rsidRPr="00B9254C" w14:paraId="706F89A7" w14:textId="77777777" w:rsidTr="00861ACD">
        <w:tc>
          <w:tcPr>
            <w:tcW w:w="2693" w:type="dxa"/>
            <w:tcBorders>
              <w:bottom w:val="single" w:sz="4" w:space="0" w:color="auto"/>
            </w:tcBorders>
          </w:tcPr>
          <w:p w14:paraId="44D400C4" w14:textId="77777777" w:rsidR="00697ECA" w:rsidRPr="00B9254C" w:rsidRDefault="00697ECA" w:rsidP="00996B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B9254C">
              <w:rPr>
                <w:sz w:val="17"/>
                <w:lang w:val="en-GB"/>
              </w:rPr>
              <w:t>Facilities and infrastructure</w:t>
            </w:r>
          </w:p>
        </w:tc>
        <w:tc>
          <w:tcPr>
            <w:tcW w:w="1350" w:type="dxa"/>
            <w:tcBorders>
              <w:bottom w:val="single" w:sz="4" w:space="0" w:color="auto"/>
            </w:tcBorders>
          </w:tcPr>
          <w:p w14:paraId="142E4975" w14:textId="77777777" w:rsidR="00697ECA" w:rsidRPr="00B9254C" w:rsidRDefault="00697ECA" w:rsidP="00996B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B9254C">
              <w:rPr>
                <w:sz w:val="17"/>
                <w:lang w:val="en-GB"/>
              </w:rPr>
              <w:t>51</w:t>
            </w:r>
          </w:p>
        </w:tc>
        <w:tc>
          <w:tcPr>
            <w:tcW w:w="2970" w:type="dxa"/>
            <w:tcBorders>
              <w:bottom w:val="single" w:sz="4" w:space="0" w:color="auto"/>
            </w:tcBorders>
          </w:tcPr>
          <w:p w14:paraId="4EC4C759" w14:textId="77777777" w:rsidR="00697ECA" w:rsidRPr="00B9254C" w:rsidRDefault="00697ECA" w:rsidP="00996B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lang w:val="en-GB"/>
              </w:rPr>
            </w:pPr>
            <w:r w:rsidRPr="00B9254C">
              <w:rPr>
                <w:sz w:val="17"/>
                <w:lang w:val="en-GB"/>
              </w:rPr>
              <w:t>Reduction of 5 per cent (no reduction under petrol, oil and lubricants)</w:t>
            </w:r>
          </w:p>
        </w:tc>
        <w:tc>
          <w:tcPr>
            <w:tcW w:w="1620" w:type="dxa"/>
            <w:tcBorders>
              <w:bottom w:val="single" w:sz="4" w:space="0" w:color="auto"/>
            </w:tcBorders>
          </w:tcPr>
          <w:p w14:paraId="6E2083DC" w14:textId="4667899A" w:rsidR="00697ECA" w:rsidRPr="00B9254C" w:rsidRDefault="00697ECA" w:rsidP="00996B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B9254C">
              <w:rPr>
                <w:sz w:val="17"/>
                <w:lang w:val="en-GB"/>
              </w:rPr>
              <w:t>(2 324 900)</w:t>
            </w:r>
          </w:p>
        </w:tc>
      </w:tr>
      <w:tr w:rsidR="00697ECA" w:rsidRPr="00B9254C" w14:paraId="38593892" w14:textId="77777777" w:rsidTr="00861ACD">
        <w:tc>
          <w:tcPr>
            <w:tcW w:w="2693" w:type="dxa"/>
            <w:tcBorders>
              <w:top w:val="single" w:sz="4" w:space="0" w:color="auto"/>
              <w:bottom w:val="single" w:sz="12" w:space="0" w:color="auto"/>
            </w:tcBorders>
            <w:vAlign w:val="bottom"/>
          </w:tcPr>
          <w:p w14:paraId="0200B9E4" w14:textId="1748CB8E" w:rsidR="00697ECA" w:rsidRPr="00B9254C" w:rsidRDefault="00697ECA" w:rsidP="00C574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B9254C">
              <w:rPr>
                <w:b/>
                <w:sz w:val="17"/>
                <w:lang w:val="en-GB"/>
              </w:rPr>
              <w:tab/>
              <w:t>Total</w:t>
            </w:r>
          </w:p>
        </w:tc>
        <w:tc>
          <w:tcPr>
            <w:tcW w:w="1350" w:type="dxa"/>
            <w:tcBorders>
              <w:top w:val="single" w:sz="4" w:space="0" w:color="auto"/>
              <w:bottom w:val="single" w:sz="12" w:space="0" w:color="auto"/>
            </w:tcBorders>
            <w:vAlign w:val="bottom"/>
          </w:tcPr>
          <w:p w14:paraId="70E81ACB"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2970" w:type="dxa"/>
            <w:tcBorders>
              <w:top w:val="single" w:sz="4" w:space="0" w:color="auto"/>
              <w:bottom w:val="single" w:sz="12" w:space="0" w:color="auto"/>
            </w:tcBorders>
            <w:vAlign w:val="bottom"/>
          </w:tcPr>
          <w:p w14:paraId="1358DC15" w14:textId="7777777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en-GB"/>
              </w:rPr>
            </w:pPr>
          </w:p>
        </w:tc>
        <w:tc>
          <w:tcPr>
            <w:tcW w:w="1620" w:type="dxa"/>
            <w:tcBorders>
              <w:top w:val="single" w:sz="4" w:space="0" w:color="auto"/>
              <w:bottom w:val="single" w:sz="12" w:space="0" w:color="auto"/>
            </w:tcBorders>
            <w:vAlign w:val="bottom"/>
          </w:tcPr>
          <w:p w14:paraId="52FFBF42" w14:textId="5EF8E5F7" w:rsidR="00697ECA" w:rsidRPr="00B9254C" w:rsidRDefault="00697ECA" w:rsidP="00697E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B9254C">
              <w:rPr>
                <w:b/>
                <w:sz w:val="17"/>
                <w:lang w:val="en-GB"/>
              </w:rPr>
              <w:t>(2 629 300)</w:t>
            </w:r>
          </w:p>
        </w:tc>
      </w:tr>
    </w:tbl>
    <w:p w14:paraId="4890BDCD" w14:textId="2D1CAE61" w:rsidR="00D87DC9" w:rsidRPr="00B9254C" w:rsidRDefault="00861ACD" w:rsidP="00861ACD">
      <w:pPr>
        <w:pStyle w:val="SingleTxt"/>
        <w:rPr>
          <w:lang w:val="en-GB"/>
        </w:rPr>
      </w:pPr>
      <w:r w:rsidRPr="00B9254C">
        <w:rPr>
          <w:noProof/>
          <w:w w:val="100"/>
          <w:lang w:val="en-GB"/>
        </w:rPr>
        <mc:AlternateContent>
          <mc:Choice Requires="wps">
            <w:drawing>
              <wp:anchor distT="0" distB="0" distL="114300" distR="114300" simplePos="0" relativeHeight="251660288" behindDoc="0" locked="0" layoutInCell="1" allowOverlap="1" wp14:anchorId="405A8E5D" wp14:editId="741EDEA6">
                <wp:simplePos x="0" y="0"/>
                <wp:positionH relativeFrom="column">
                  <wp:posOffset>2669540</wp:posOffset>
                </wp:positionH>
                <wp:positionV relativeFrom="paragraph">
                  <wp:posOffset>304800</wp:posOffset>
                </wp:positionV>
                <wp:extent cx="914400" cy="0"/>
                <wp:effectExtent l="0" t="0" r="0" b="0"/>
                <wp:wrapNone/>
                <wp:docPr id="174240929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E482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87DC9" w:rsidRPr="00B9254C" w:rsidSect="00B73912">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4T12:32:00Z" w:initials="Start">
    <w:p w14:paraId="6549BED5" w14:textId="77777777" w:rsidR="00FA5BDC" w:rsidRPr="00B73912" w:rsidRDefault="00FA5BDC">
      <w:pPr>
        <w:pStyle w:val="CommentText"/>
        <w:rPr>
          <w:lang w:val="en-US"/>
        </w:rPr>
      </w:pPr>
      <w:r>
        <w:rPr>
          <w:rStyle w:val="CommentReference"/>
        </w:rPr>
        <w:annotationRef/>
      </w:r>
      <w:r w:rsidRPr="00B73912">
        <w:rPr>
          <w:lang w:val="en-US"/>
        </w:rPr>
        <w:t>&lt;&lt;ODS JOB NO&gt;&gt;N2607572E&lt;&lt;ODS JOB NO&gt;&gt;</w:t>
      </w:r>
    </w:p>
    <w:p w14:paraId="5AA60ACC" w14:textId="77777777" w:rsidR="00FA5BDC" w:rsidRPr="00861ACD" w:rsidRDefault="00FA5BDC">
      <w:pPr>
        <w:pStyle w:val="CommentText"/>
        <w:rPr>
          <w:lang w:val="en-US"/>
        </w:rPr>
      </w:pPr>
      <w:r w:rsidRPr="00861ACD">
        <w:rPr>
          <w:lang w:val="en-US"/>
        </w:rPr>
        <w:t>&lt;&lt;ODS DOC SYMBOL1&gt;&gt;A/80/604/Add.9&lt;&lt;ODS DOC SYMBOL1&gt;&gt;</w:t>
      </w:r>
    </w:p>
    <w:p w14:paraId="4BA58E60" w14:textId="2EF92135" w:rsidR="00FA5BDC" w:rsidRPr="00861ACD" w:rsidRDefault="00FA5BDC">
      <w:pPr>
        <w:pStyle w:val="CommentText"/>
        <w:rPr>
          <w:lang w:val="en-US"/>
        </w:rPr>
      </w:pPr>
      <w:r w:rsidRPr="00861ACD">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A58E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E3DDD5" w16cex:dateUtc="2026-04-14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A58E60" w16cid:durableId="08E3DD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8AD07" w14:textId="77777777" w:rsidR="00854B24" w:rsidRDefault="00854B24" w:rsidP="00331D20">
      <w:r>
        <w:separator/>
      </w:r>
    </w:p>
  </w:endnote>
  <w:endnote w:type="continuationSeparator" w:id="0">
    <w:p w14:paraId="591C4690" w14:textId="77777777" w:rsidR="00854B24" w:rsidRDefault="00854B24"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A5BDC" w14:paraId="5FDC67FA" w14:textId="77777777" w:rsidTr="00FA5BDC">
      <w:tc>
        <w:tcPr>
          <w:tcW w:w="4920" w:type="dxa"/>
        </w:tcPr>
        <w:p w14:paraId="7A3969AA" w14:textId="58C66EB8" w:rsidR="00FA5BDC" w:rsidRPr="00FA5BDC" w:rsidRDefault="00FA5BDC" w:rsidP="00FA5BD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C51AB">
            <w:rPr>
              <w:b w:val="0"/>
              <w:w w:val="103"/>
              <w:sz w:val="14"/>
            </w:rPr>
            <w:t>26-04885</w:t>
          </w:r>
          <w:r>
            <w:rPr>
              <w:b w:val="0"/>
              <w:w w:val="103"/>
              <w:sz w:val="14"/>
            </w:rPr>
            <w:fldChar w:fldCharType="end"/>
          </w:r>
        </w:p>
      </w:tc>
      <w:tc>
        <w:tcPr>
          <w:tcW w:w="4920" w:type="dxa"/>
        </w:tcPr>
        <w:p w14:paraId="0797A688" w14:textId="323FF5EA" w:rsidR="00FA5BDC" w:rsidRPr="00FA5BDC" w:rsidRDefault="00FA5BDC" w:rsidP="00FA5BD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85CBC80" w14:textId="77777777" w:rsidR="00FA5BDC" w:rsidRPr="00FA5BDC" w:rsidRDefault="00FA5BDC" w:rsidP="00FA5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A5BDC" w14:paraId="7279A746" w14:textId="77777777" w:rsidTr="00FA5BDC">
      <w:tc>
        <w:tcPr>
          <w:tcW w:w="4920" w:type="dxa"/>
        </w:tcPr>
        <w:p w14:paraId="47011711" w14:textId="64BDCAE3" w:rsidR="00FA5BDC" w:rsidRPr="00FA5BDC" w:rsidRDefault="00FA5BDC" w:rsidP="00FA5BD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FDED40D" w14:textId="424D324B" w:rsidR="00FA5BDC" w:rsidRPr="00FA5BDC" w:rsidRDefault="00FA5BDC" w:rsidP="00FA5BD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C51AB">
            <w:rPr>
              <w:b w:val="0"/>
              <w:w w:val="103"/>
              <w:sz w:val="14"/>
            </w:rPr>
            <w:t>26-04885</w:t>
          </w:r>
          <w:r>
            <w:rPr>
              <w:b w:val="0"/>
              <w:w w:val="103"/>
              <w:sz w:val="14"/>
            </w:rPr>
            <w:fldChar w:fldCharType="end"/>
          </w:r>
          <w:r>
            <w:rPr>
              <w:b w:val="0"/>
              <w:w w:val="103"/>
              <w:sz w:val="14"/>
            </w:rPr>
            <w:fldChar w:fldCharType="begin"/>
          </w:r>
          <w:r>
            <w:rPr>
              <w:b w:val="0"/>
              <w:w w:val="103"/>
              <w:sz w:val="14"/>
            </w:rPr>
            <w:instrText xml:space="preserve"> 26-04885 \* MERGEFORMAT </w:instrText>
          </w:r>
          <w:r>
            <w:rPr>
              <w:b w:val="0"/>
              <w:w w:val="103"/>
              <w:sz w:val="14"/>
            </w:rPr>
            <w:fldChar w:fldCharType="end"/>
          </w:r>
        </w:p>
      </w:tc>
    </w:tr>
  </w:tbl>
  <w:p w14:paraId="6464BDC1" w14:textId="77777777" w:rsidR="00FA5BDC" w:rsidRPr="00FA5BDC" w:rsidRDefault="00FA5BDC" w:rsidP="00FA5B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A5BDC" w14:paraId="05EEA615" w14:textId="77777777" w:rsidTr="00FA5BDC">
      <w:tc>
        <w:tcPr>
          <w:tcW w:w="3801" w:type="dxa"/>
        </w:tcPr>
        <w:p w14:paraId="65EECBFA" w14:textId="1E724D4E" w:rsidR="00FA5BDC" w:rsidRDefault="00FA5BDC" w:rsidP="00FA5BDC">
          <w:pPr>
            <w:pStyle w:val="ReleaseDate0"/>
          </w:pPr>
          <w:r>
            <w:rPr>
              <w:noProof/>
            </w:rPr>
            <w:drawing>
              <wp:anchor distT="0" distB="0" distL="114300" distR="114300" simplePos="0" relativeHeight="251659264" behindDoc="0" locked="0" layoutInCell="1" allowOverlap="1" wp14:anchorId="337E5CD7" wp14:editId="3260EE5F">
                <wp:simplePos x="0" y="0"/>
                <wp:positionH relativeFrom="column">
                  <wp:posOffset>5495290</wp:posOffset>
                </wp:positionH>
                <wp:positionV relativeFrom="paragraph">
                  <wp:posOffset>-365760</wp:posOffset>
                </wp:positionV>
                <wp:extent cx="694690" cy="694690"/>
                <wp:effectExtent l="0" t="0" r="0" b="0"/>
                <wp:wrapNone/>
                <wp:docPr id="1231579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26-04885 (E)    </w:t>
          </w:r>
          <w:r w:rsidR="00EB39FC">
            <w:t>23</w:t>
          </w:r>
          <w:r>
            <w:t>0426</w:t>
          </w:r>
        </w:p>
        <w:p w14:paraId="498384C3" w14:textId="15141E46" w:rsidR="00FA5BDC" w:rsidRPr="00FA5BDC" w:rsidRDefault="00FA5BDC" w:rsidP="00FA5BD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*2604885*</w:t>
          </w:r>
        </w:p>
      </w:tc>
      <w:tc>
        <w:tcPr>
          <w:tcW w:w="4920" w:type="dxa"/>
        </w:tcPr>
        <w:p w14:paraId="55890E19" w14:textId="2DDE463F" w:rsidR="00FA5BDC" w:rsidRDefault="00FA5BDC" w:rsidP="00FA5BDC">
          <w:pPr>
            <w:pStyle w:val="Footer"/>
            <w:jc w:val="right"/>
            <w:rPr>
              <w:b w:val="0"/>
              <w:sz w:val="20"/>
            </w:rPr>
          </w:pPr>
          <w:r>
            <w:rPr>
              <w:b w:val="0"/>
              <w:sz w:val="20"/>
            </w:rPr>
            <w:drawing>
              <wp:anchor distT="0" distB="0" distL="114300" distR="114300" simplePos="0" relativeHeight="251658240" behindDoc="0" locked="0" layoutInCell="1" allowOverlap="1" wp14:anchorId="4339A971" wp14:editId="212DAFE0">
                <wp:simplePos x="0" y="0"/>
                <wp:positionH relativeFrom="column">
                  <wp:posOffset>2054134</wp:posOffset>
                </wp:positionH>
                <wp:positionV relativeFrom="paragraph">
                  <wp:posOffset>45720</wp:posOffset>
                </wp:positionV>
                <wp:extent cx="929642" cy="231648"/>
                <wp:effectExtent l="0" t="0" r="3810" b="0"/>
                <wp:wrapNone/>
                <wp:docPr id="72305259" name="Picture 2"/>
                <wp:cNvGraphicFramePr/>
                <a:graphic xmlns:a="http://schemas.openxmlformats.org/drawingml/2006/main">
                  <a:graphicData uri="http://schemas.openxmlformats.org/drawingml/2006/picture">
                    <pic:pic xmlns:pic="http://schemas.openxmlformats.org/drawingml/2006/picture">
                      <pic:nvPicPr>
                        <pic:cNvPr id="7230525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97BD7A5" w14:textId="77777777" w:rsidR="00FA5BDC" w:rsidRPr="00FA5BDC" w:rsidRDefault="00FA5BDC" w:rsidP="00FA5BDC">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6865" w14:textId="77777777" w:rsidR="00854B24" w:rsidRPr="00A50FE7" w:rsidRDefault="00854B24" w:rsidP="00A50FE7">
      <w:pPr>
        <w:pStyle w:val="Footer"/>
        <w:spacing w:after="80"/>
        <w:ind w:left="792"/>
        <w:rPr>
          <w:sz w:val="16"/>
        </w:rPr>
      </w:pPr>
      <w:r w:rsidRPr="00A50FE7">
        <w:rPr>
          <w:sz w:val="16"/>
        </w:rPr>
        <w:t>__________________</w:t>
      </w:r>
    </w:p>
  </w:footnote>
  <w:footnote w:type="continuationSeparator" w:id="0">
    <w:p w14:paraId="49C7D602" w14:textId="77777777" w:rsidR="00854B24" w:rsidRPr="00A50FE7" w:rsidRDefault="00854B24" w:rsidP="00A50FE7">
      <w:pPr>
        <w:pStyle w:val="Footer"/>
        <w:spacing w:after="80"/>
        <w:ind w:left="792"/>
        <w:rPr>
          <w:sz w:val="16"/>
        </w:rPr>
      </w:pPr>
      <w:r w:rsidRPr="00A50FE7">
        <w:rPr>
          <w:sz w:val="16"/>
        </w:rPr>
        <w:t>__________________</w:t>
      </w:r>
    </w:p>
  </w:footnote>
  <w:footnote w:id="1">
    <w:p w14:paraId="59F02707" w14:textId="5E161C38" w:rsidR="00A50FE7" w:rsidRPr="00A50FE7" w:rsidRDefault="00A50FE7" w:rsidP="00A50FE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A50FE7">
        <w:rPr>
          <w:lang w:val="en-US"/>
        </w:rPr>
        <w:t xml:space="preserve"> </w:t>
      </w:r>
      <w:r w:rsidRPr="00A50FE7">
        <w:rPr>
          <w:lang w:val="en-US"/>
        </w:rPr>
        <w:tab/>
        <w:t>Excludes one-time requirements for termination entitlements payable to staff members.</w:t>
      </w:r>
    </w:p>
  </w:footnote>
  <w:footnote w:id="2">
    <w:p w14:paraId="2D6A1018" w14:textId="443FF003" w:rsidR="00697ECA" w:rsidRPr="00697ECA" w:rsidRDefault="00697ECA" w:rsidP="00697EC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DE7052">
        <w:rPr>
          <w:lang w:val="en-US"/>
        </w:rPr>
        <w:tab/>
      </w:r>
      <w:r>
        <w:rPr>
          <w:rStyle w:val="FootnoteReference"/>
        </w:rPr>
        <w:footnoteRef/>
      </w:r>
      <w:r w:rsidRPr="00697ECA">
        <w:rPr>
          <w:lang w:val="en-US"/>
        </w:rPr>
        <w:t xml:space="preserve"> </w:t>
      </w:r>
      <w:r w:rsidRPr="00697ECA">
        <w:rPr>
          <w:lang w:val="en-US"/>
        </w:rPr>
        <w:tab/>
        <w:t>Detailed and updated information on the nationalities of staff in MINUSCA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A5BDC" w14:paraId="2B85C7B7" w14:textId="77777777" w:rsidTr="00FA5BDC">
      <w:trPr>
        <w:trHeight w:hRule="exact" w:val="864"/>
      </w:trPr>
      <w:tc>
        <w:tcPr>
          <w:tcW w:w="4920" w:type="dxa"/>
          <w:vAlign w:val="bottom"/>
        </w:tcPr>
        <w:p w14:paraId="44AF3638" w14:textId="35ADF646" w:rsidR="00FA5BDC" w:rsidRPr="00FA5BDC" w:rsidRDefault="00FA5BDC" w:rsidP="00FA5BDC">
          <w:pPr>
            <w:pStyle w:val="Header"/>
            <w:spacing w:after="80"/>
            <w:rPr>
              <w:b/>
            </w:rPr>
          </w:pPr>
          <w:r>
            <w:rPr>
              <w:b/>
            </w:rPr>
            <w:fldChar w:fldCharType="begin"/>
          </w:r>
          <w:r>
            <w:rPr>
              <w:b/>
            </w:rPr>
            <w:instrText xml:space="preserve"> DOCVARIABLE "sss1" \* MERGEFORMAT </w:instrText>
          </w:r>
          <w:r>
            <w:rPr>
              <w:b/>
            </w:rPr>
            <w:fldChar w:fldCharType="separate"/>
          </w:r>
          <w:r w:rsidR="004C51AB">
            <w:rPr>
              <w:b/>
            </w:rPr>
            <w:t>A/80/604/Add.9</w:t>
          </w:r>
          <w:r>
            <w:rPr>
              <w:b/>
            </w:rPr>
            <w:fldChar w:fldCharType="end"/>
          </w:r>
        </w:p>
      </w:tc>
      <w:tc>
        <w:tcPr>
          <w:tcW w:w="4920" w:type="dxa"/>
          <w:vAlign w:val="bottom"/>
        </w:tcPr>
        <w:p w14:paraId="10BFDCC9" w14:textId="77777777" w:rsidR="00FA5BDC" w:rsidRDefault="00FA5BDC" w:rsidP="00FA5BDC">
          <w:pPr>
            <w:pStyle w:val="Header"/>
          </w:pPr>
        </w:p>
      </w:tc>
    </w:tr>
  </w:tbl>
  <w:p w14:paraId="63D6B0FF" w14:textId="77777777" w:rsidR="00FA5BDC" w:rsidRPr="00FA5BDC" w:rsidRDefault="00FA5BDC" w:rsidP="00FA5B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A5BDC" w14:paraId="5BD68E07" w14:textId="77777777" w:rsidTr="00FA5BDC">
      <w:trPr>
        <w:trHeight w:hRule="exact" w:val="864"/>
      </w:trPr>
      <w:tc>
        <w:tcPr>
          <w:tcW w:w="4920" w:type="dxa"/>
          <w:vAlign w:val="bottom"/>
        </w:tcPr>
        <w:p w14:paraId="7D78997D" w14:textId="77777777" w:rsidR="00FA5BDC" w:rsidRDefault="00FA5BDC" w:rsidP="00FA5BDC">
          <w:pPr>
            <w:pStyle w:val="Header"/>
          </w:pPr>
        </w:p>
      </w:tc>
      <w:tc>
        <w:tcPr>
          <w:tcW w:w="4920" w:type="dxa"/>
          <w:vAlign w:val="bottom"/>
        </w:tcPr>
        <w:p w14:paraId="16A53B09" w14:textId="05F53DA9" w:rsidR="00FA5BDC" w:rsidRPr="00FA5BDC" w:rsidRDefault="00FA5BDC" w:rsidP="00FA5BDC">
          <w:pPr>
            <w:pStyle w:val="Header"/>
            <w:spacing w:after="80"/>
            <w:jc w:val="right"/>
            <w:rPr>
              <w:b/>
            </w:rPr>
          </w:pPr>
          <w:r>
            <w:rPr>
              <w:b/>
            </w:rPr>
            <w:fldChar w:fldCharType="begin"/>
          </w:r>
          <w:r>
            <w:rPr>
              <w:b/>
            </w:rPr>
            <w:instrText xml:space="preserve"> DOCVARIABLE "sss1" \* MERGEFORMAT </w:instrText>
          </w:r>
          <w:r>
            <w:rPr>
              <w:b/>
            </w:rPr>
            <w:fldChar w:fldCharType="separate"/>
          </w:r>
          <w:r w:rsidR="004C51AB">
            <w:rPr>
              <w:b/>
            </w:rPr>
            <w:t>A/80/604/Add.9</w:t>
          </w:r>
          <w:r>
            <w:rPr>
              <w:b/>
            </w:rPr>
            <w:fldChar w:fldCharType="end"/>
          </w:r>
        </w:p>
      </w:tc>
    </w:tr>
  </w:tbl>
  <w:p w14:paraId="638F78DD" w14:textId="77777777" w:rsidR="00FA5BDC" w:rsidRPr="00FA5BDC" w:rsidRDefault="00FA5BDC" w:rsidP="00FA5B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A5BDC" w:rsidRPr="005C4BC2" w14:paraId="5D4A1362" w14:textId="77777777" w:rsidTr="00FA5BDC">
      <w:trPr>
        <w:trHeight w:hRule="exact" w:val="864"/>
      </w:trPr>
      <w:tc>
        <w:tcPr>
          <w:tcW w:w="1267" w:type="dxa"/>
          <w:tcBorders>
            <w:bottom w:val="single" w:sz="4" w:space="0" w:color="auto"/>
          </w:tcBorders>
          <w:vAlign w:val="bottom"/>
        </w:tcPr>
        <w:p w14:paraId="7F52E2CD" w14:textId="77777777" w:rsidR="00FA5BDC" w:rsidRPr="005C4BC2" w:rsidRDefault="00FA5BDC" w:rsidP="00FA5BDC">
          <w:pPr>
            <w:pStyle w:val="Header"/>
            <w:spacing w:after="120"/>
            <w:rPr>
              <w:noProof w:val="0"/>
              <w:lang w:val="en-GB"/>
            </w:rPr>
          </w:pPr>
        </w:p>
      </w:tc>
      <w:tc>
        <w:tcPr>
          <w:tcW w:w="1872" w:type="dxa"/>
          <w:tcBorders>
            <w:bottom w:val="single" w:sz="4" w:space="0" w:color="auto"/>
          </w:tcBorders>
          <w:vAlign w:val="bottom"/>
        </w:tcPr>
        <w:p w14:paraId="29D3D5D3" w14:textId="718AAD30" w:rsidR="00FA5BDC" w:rsidRPr="005C4BC2" w:rsidRDefault="00FA5BDC" w:rsidP="00FA5BDC">
          <w:pPr>
            <w:pStyle w:val="HCh"/>
            <w:spacing w:after="80"/>
            <w:rPr>
              <w:b w:val="0"/>
              <w:spacing w:val="2"/>
              <w:w w:val="96"/>
              <w:lang w:val="en-GB"/>
            </w:rPr>
          </w:pPr>
          <w:r w:rsidRPr="005C4BC2">
            <w:rPr>
              <w:b w:val="0"/>
              <w:spacing w:val="2"/>
              <w:w w:val="96"/>
              <w:lang w:val="en-GB"/>
            </w:rPr>
            <w:t>United Nations</w:t>
          </w:r>
        </w:p>
      </w:tc>
      <w:tc>
        <w:tcPr>
          <w:tcW w:w="245" w:type="dxa"/>
          <w:tcBorders>
            <w:bottom w:val="single" w:sz="4" w:space="0" w:color="auto"/>
          </w:tcBorders>
          <w:vAlign w:val="bottom"/>
        </w:tcPr>
        <w:p w14:paraId="3EBEC32A" w14:textId="77777777" w:rsidR="00FA5BDC" w:rsidRPr="005C4BC2" w:rsidRDefault="00FA5BDC" w:rsidP="00FA5BDC">
          <w:pPr>
            <w:pStyle w:val="Header"/>
            <w:spacing w:after="120"/>
            <w:rPr>
              <w:noProof w:val="0"/>
              <w:lang w:val="en-GB"/>
            </w:rPr>
          </w:pPr>
        </w:p>
      </w:tc>
      <w:tc>
        <w:tcPr>
          <w:tcW w:w="6466" w:type="dxa"/>
          <w:gridSpan w:val="4"/>
          <w:tcBorders>
            <w:bottom w:val="single" w:sz="4" w:space="0" w:color="auto"/>
          </w:tcBorders>
          <w:vAlign w:val="bottom"/>
        </w:tcPr>
        <w:p w14:paraId="3751EEFC" w14:textId="0B142AA3" w:rsidR="00FA5BDC" w:rsidRPr="005C4BC2" w:rsidRDefault="00FA5BDC" w:rsidP="00FA5BDC">
          <w:pPr>
            <w:spacing w:after="80" w:line="240" w:lineRule="auto"/>
            <w:jc w:val="right"/>
            <w:rPr>
              <w:position w:val="-4"/>
              <w:lang w:val="en-GB"/>
            </w:rPr>
          </w:pPr>
          <w:r w:rsidRPr="005C4BC2">
            <w:rPr>
              <w:position w:val="-4"/>
              <w:sz w:val="40"/>
              <w:lang w:val="en-GB"/>
            </w:rPr>
            <w:t>A</w:t>
          </w:r>
          <w:r w:rsidRPr="005C4BC2">
            <w:rPr>
              <w:position w:val="-4"/>
              <w:lang w:val="en-GB"/>
            </w:rPr>
            <w:t>/80/604/Add.9</w:t>
          </w:r>
        </w:p>
      </w:tc>
    </w:tr>
    <w:tr w:rsidR="00FA5BDC" w:rsidRPr="00203135" w14:paraId="5FBD058C" w14:textId="77777777" w:rsidTr="00FA5BDC">
      <w:trPr>
        <w:gridAfter w:val="1"/>
        <w:wAfter w:w="15" w:type="dxa"/>
        <w:trHeight w:hRule="exact" w:val="2880"/>
      </w:trPr>
      <w:tc>
        <w:tcPr>
          <w:tcW w:w="1267" w:type="dxa"/>
          <w:tcBorders>
            <w:top w:val="single" w:sz="4" w:space="0" w:color="auto"/>
            <w:bottom w:val="single" w:sz="12" w:space="0" w:color="auto"/>
          </w:tcBorders>
        </w:tcPr>
        <w:p w14:paraId="7DD68EA2" w14:textId="1BE1FCAA" w:rsidR="00FA5BDC" w:rsidRPr="005C4BC2" w:rsidRDefault="00FA5BDC" w:rsidP="00FA5BDC">
          <w:pPr>
            <w:pStyle w:val="Header"/>
            <w:spacing w:before="120"/>
            <w:jc w:val="center"/>
            <w:rPr>
              <w:noProof w:val="0"/>
              <w:lang w:val="en-GB"/>
            </w:rPr>
          </w:pPr>
          <w:r w:rsidRPr="005C4BC2">
            <w:rPr>
              <w:noProof w:val="0"/>
              <w:lang w:val="en-GB"/>
            </w:rPr>
            <w:t xml:space="preserve"> </w:t>
          </w:r>
          <w:r w:rsidRPr="005C4BC2">
            <w:rPr>
              <w:lang w:val="en-GB"/>
            </w:rPr>
            <w:drawing>
              <wp:inline distT="0" distB="0" distL="0" distR="0" wp14:anchorId="47A6B51D" wp14:editId="32DD78D4">
                <wp:extent cx="713232" cy="597103"/>
                <wp:effectExtent l="0" t="0" r="0" b="0"/>
                <wp:docPr id="812297387" name="Picture 1"/>
                <wp:cNvGraphicFramePr/>
                <a:graphic xmlns:a="http://schemas.openxmlformats.org/drawingml/2006/main">
                  <a:graphicData uri="http://schemas.openxmlformats.org/drawingml/2006/picture">
                    <pic:pic xmlns:pic="http://schemas.openxmlformats.org/drawingml/2006/picture">
                      <pic:nvPicPr>
                        <pic:cNvPr id="81229738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B2ADC9B" w14:textId="7571191B" w:rsidR="00FA5BDC" w:rsidRPr="005C4BC2" w:rsidRDefault="00FA5BDC" w:rsidP="00FA5BDC">
          <w:pPr>
            <w:pStyle w:val="XLarge"/>
            <w:spacing w:before="109"/>
            <w:rPr>
              <w:lang w:val="en-GB"/>
            </w:rPr>
          </w:pPr>
          <w:r w:rsidRPr="005C4BC2">
            <w:rPr>
              <w:lang w:val="en-GB"/>
            </w:rPr>
            <w:t>General Assembly</w:t>
          </w:r>
        </w:p>
      </w:tc>
      <w:tc>
        <w:tcPr>
          <w:tcW w:w="245" w:type="dxa"/>
          <w:tcBorders>
            <w:top w:val="single" w:sz="4" w:space="0" w:color="auto"/>
            <w:bottom w:val="single" w:sz="12" w:space="0" w:color="auto"/>
          </w:tcBorders>
        </w:tcPr>
        <w:p w14:paraId="265DF49C" w14:textId="77777777" w:rsidR="00FA5BDC" w:rsidRPr="005C4BC2" w:rsidRDefault="00FA5BDC" w:rsidP="00FA5BDC">
          <w:pPr>
            <w:pStyle w:val="Header"/>
            <w:spacing w:before="109"/>
            <w:rPr>
              <w:noProof w:val="0"/>
              <w:lang w:val="en-GB"/>
            </w:rPr>
          </w:pPr>
        </w:p>
      </w:tc>
      <w:tc>
        <w:tcPr>
          <w:tcW w:w="3096" w:type="dxa"/>
          <w:tcBorders>
            <w:top w:val="single" w:sz="4" w:space="0" w:color="auto"/>
            <w:bottom w:val="single" w:sz="12" w:space="0" w:color="auto"/>
          </w:tcBorders>
        </w:tcPr>
        <w:p w14:paraId="068CA0E5" w14:textId="77777777" w:rsidR="00FA5BDC" w:rsidRPr="005C4BC2" w:rsidRDefault="00FA5BDC" w:rsidP="00FA5BDC">
          <w:pPr>
            <w:pStyle w:val="Publication"/>
            <w:spacing w:before="240"/>
            <w:rPr>
              <w:color w:val="010000"/>
              <w:lang w:val="en-GB"/>
            </w:rPr>
          </w:pPr>
          <w:r w:rsidRPr="005C4BC2">
            <w:rPr>
              <w:color w:val="010000"/>
              <w:lang w:val="en-GB"/>
            </w:rPr>
            <w:t>Distr.: General</w:t>
          </w:r>
        </w:p>
        <w:p w14:paraId="3C04C4B2" w14:textId="77777777" w:rsidR="00FA5BDC" w:rsidRPr="005C4BC2" w:rsidRDefault="00FA5BDC" w:rsidP="00FA5BDC">
          <w:pPr>
            <w:rPr>
              <w:lang w:val="en-GB"/>
            </w:rPr>
          </w:pPr>
          <w:r w:rsidRPr="005C4BC2">
            <w:rPr>
              <w:lang w:val="en-GB"/>
            </w:rPr>
            <w:t>7 April 2026</w:t>
          </w:r>
        </w:p>
        <w:p w14:paraId="344ECCEE" w14:textId="372F0BB2" w:rsidR="00FA5BDC" w:rsidRPr="005C4BC2" w:rsidRDefault="00FA5BDC" w:rsidP="00FA5BDC">
          <w:pPr>
            <w:rPr>
              <w:lang w:val="en-GB"/>
            </w:rPr>
          </w:pPr>
        </w:p>
        <w:p w14:paraId="7D7DD764" w14:textId="1D806D0D" w:rsidR="00FA5BDC" w:rsidRPr="005C4BC2" w:rsidRDefault="00FA5BDC" w:rsidP="00FA5BDC">
          <w:pPr>
            <w:rPr>
              <w:lang w:val="en-GB"/>
            </w:rPr>
          </w:pPr>
          <w:r w:rsidRPr="005C4BC2">
            <w:rPr>
              <w:lang w:val="en-GB"/>
            </w:rPr>
            <w:t>Original: English</w:t>
          </w:r>
        </w:p>
      </w:tc>
    </w:tr>
  </w:tbl>
  <w:p w14:paraId="3F54FAE1" w14:textId="77777777" w:rsidR="00FA5BDC" w:rsidRPr="00FA5BDC" w:rsidRDefault="00FA5BDC" w:rsidP="00FA5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ultidimensional Integrated Stabilization Mission in the Central African Republic_x000d_"/>
    <w:docVar w:name="Agenda1" w:val="Agenda item 150_x000d_"/>
    <w:docVar w:name="Barcode" w:val="*2604885*"/>
    <w:docVar w:name="CreationDt" w:val="14/04/2026 12:32 PM"/>
    <w:docVar w:name="DocCategory" w:val="Doc"/>
    <w:docVar w:name="DocType" w:val="Final"/>
    <w:docVar w:name="DutyStation" w:val="New York"/>
    <w:docVar w:name="FooterJN" w:val="26-04885"/>
    <w:docVar w:name="jobn" w:val="26-04885 (E)"/>
    <w:docVar w:name="jobnDT" w:val="26-04885 (E)   140426"/>
    <w:docVar w:name="jobnDTDT" w:val="26-04885 (E)   140426   140426"/>
    <w:docVar w:name="JobNo" w:val="2604885E"/>
    <w:docVar w:name="JobNo2" w:val="2607572E"/>
    <w:docVar w:name="LocalDrive" w:val="-1"/>
    <w:docVar w:name="OandT" w:val=" "/>
    <w:docVar w:name="Session1" w:val="Eightieth session_x000d_"/>
    <w:docVar w:name="sss1" w:val="A/80/604/Add.9"/>
    <w:docVar w:name="sss2" w:val="-"/>
    <w:docVar w:name="Symbol1" w:val="A/80/604/Add.9"/>
    <w:docVar w:name="Symbol2" w:val="-"/>
    <w:docVar w:name="Title1" w:val="_x0009__x0009_Budget performance for the period from 1 July 2024 to 30 June 2025 and proposed budget for the period from 1 July 2026 to 30 June 2027 for the United Nations Multidimensional Integrated Stabilization Mission in the Central African Republic_x000d_"/>
    <w:docVar w:name="Title2" w:val="_x0009__x0009_Report of the Advisory Committee on Administrative and Budgetary Questions_x000d_"/>
  </w:docVars>
  <w:rsids>
    <w:rsidRoot w:val="008E3C32"/>
    <w:rsid w:val="00001169"/>
    <w:rsid w:val="00001967"/>
    <w:rsid w:val="00012A6B"/>
    <w:rsid w:val="00020DE2"/>
    <w:rsid w:val="0003044D"/>
    <w:rsid w:val="00065FC5"/>
    <w:rsid w:val="00070AEF"/>
    <w:rsid w:val="000C1368"/>
    <w:rsid w:val="000C30DE"/>
    <w:rsid w:val="000C535C"/>
    <w:rsid w:val="00104850"/>
    <w:rsid w:val="00104DBF"/>
    <w:rsid w:val="00105618"/>
    <w:rsid w:val="001325B0"/>
    <w:rsid w:val="00142021"/>
    <w:rsid w:val="00151F81"/>
    <w:rsid w:val="00171CDD"/>
    <w:rsid w:val="00171E00"/>
    <w:rsid w:val="00174182"/>
    <w:rsid w:val="0017443C"/>
    <w:rsid w:val="001760A4"/>
    <w:rsid w:val="0018102C"/>
    <w:rsid w:val="00194664"/>
    <w:rsid w:val="001978D5"/>
    <w:rsid w:val="001A32A9"/>
    <w:rsid w:val="001B0DDB"/>
    <w:rsid w:val="001B1BAE"/>
    <w:rsid w:val="00203135"/>
    <w:rsid w:val="00211F10"/>
    <w:rsid w:val="00231D96"/>
    <w:rsid w:val="0024330F"/>
    <w:rsid w:val="00247400"/>
    <w:rsid w:val="00260755"/>
    <w:rsid w:val="002745A7"/>
    <w:rsid w:val="0027492E"/>
    <w:rsid w:val="002902CE"/>
    <w:rsid w:val="002B0604"/>
    <w:rsid w:val="002B5479"/>
    <w:rsid w:val="002E304D"/>
    <w:rsid w:val="002E5447"/>
    <w:rsid w:val="002E6B7E"/>
    <w:rsid w:val="003046F9"/>
    <w:rsid w:val="003073ED"/>
    <w:rsid w:val="00312FE0"/>
    <w:rsid w:val="00314BC2"/>
    <w:rsid w:val="003204B5"/>
    <w:rsid w:val="00322B80"/>
    <w:rsid w:val="00326100"/>
    <w:rsid w:val="00331D20"/>
    <w:rsid w:val="00340617"/>
    <w:rsid w:val="00365FD7"/>
    <w:rsid w:val="00367BA6"/>
    <w:rsid w:val="00373732"/>
    <w:rsid w:val="003852E4"/>
    <w:rsid w:val="0039701D"/>
    <w:rsid w:val="003A1657"/>
    <w:rsid w:val="003B1D1B"/>
    <w:rsid w:val="003E5E54"/>
    <w:rsid w:val="003F75F8"/>
    <w:rsid w:val="004040BF"/>
    <w:rsid w:val="004200C7"/>
    <w:rsid w:val="0042135F"/>
    <w:rsid w:val="004278AB"/>
    <w:rsid w:val="00443AE6"/>
    <w:rsid w:val="004536CE"/>
    <w:rsid w:val="0047638E"/>
    <w:rsid w:val="00492A32"/>
    <w:rsid w:val="00495E7B"/>
    <w:rsid w:val="0049669D"/>
    <w:rsid w:val="004A3958"/>
    <w:rsid w:val="004B26FC"/>
    <w:rsid w:val="004B5E08"/>
    <w:rsid w:val="004C51AB"/>
    <w:rsid w:val="004C520B"/>
    <w:rsid w:val="004C5B81"/>
    <w:rsid w:val="004F5722"/>
    <w:rsid w:val="00503BDD"/>
    <w:rsid w:val="0053055C"/>
    <w:rsid w:val="00540A39"/>
    <w:rsid w:val="0054211F"/>
    <w:rsid w:val="005610B1"/>
    <w:rsid w:val="005630C0"/>
    <w:rsid w:val="00572DE6"/>
    <w:rsid w:val="00591444"/>
    <w:rsid w:val="005A4B76"/>
    <w:rsid w:val="005B2809"/>
    <w:rsid w:val="005B6560"/>
    <w:rsid w:val="005C4BC2"/>
    <w:rsid w:val="005C67AF"/>
    <w:rsid w:val="005D0B60"/>
    <w:rsid w:val="005D4F00"/>
    <w:rsid w:val="005E02F5"/>
    <w:rsid w:val="005E67A9"/>
    <w:rsid w:val="005F00A8"/>
    <w:rsid w:val="00602C58"/>
    <w:rsid w:val="006053FA"/>
    <w:rsid w:val="00620AAA"/>
    <w:rsid w:val="006303C9"/>
    <w:rsid w:val="00634949"/>
    <w:rsid w:val="0064071A"/>
    <w:rsid w:val="0064492C"/>
    <w:rsid w:val="00665001"/>
    <w:rsid w:val="00677D0C"/>
    <w:rsid w:val="00684BC5"/>
    <w:rsid w:val="00684C11"/>
    <w:rsid w:val="00690DBE"/>
    <w:rsid w:val="00694F0A"/>
    <w:rsid w:val="00697ECA"/>
    <w:rsid w:val="006A1127"/>
    <w:rsid w:val="006A31AA"/>
    <w:rsid w:val="006A542F"/>
    <w:rsid w:val="006B0B2E"/>
    <w:rsid w:val="006B474D"/>
    <w:rsid w:val="006C7738"/>
    <w:rsid w:val="007010AA"/>
    <w:rsid w:val="00704CC6"/>
    <w:rsid w:val="00727155"/>
    <w:rsid w:val="007311D0"/>
    <w:rsid w:val="00732F17"/>
    <w:rsid w:val="007573DC"/>
    <w:rsid w:val="007633C9"/>
    <w:rsid w:val="00767062"/>
    <w:rsid w:val="00776852"/>
    <w:rsid w:val="0078108F"/>
    <w:rsid w:val="007A1D75"/>
    <w:rsid w:val="007B304F"/>
    <w:rsid w:val="007B4CD6"/>
    <w:rsid w:val="007B75DF"/>
    <w:rsid w:val="007C35BC"/>
    <w:rsid w:val="007C3668"/>
    <w:rsid w:val="007C4CDF"/>
    <w:rsid w:val="007C6CB9"/>
    <w:rsid w:val="007E475E"/>
    <w:rsid w:val="008138CB"/>
    <w:rsid w:val="00823A1A"/>
    <w:rsid w:val="00853415"/>
    <w:rsid w:val="00854B24"/>
    <w:rsid w:val="008618C7"/>
    <w:rsid w:val="00861ACD"/>
    <w:rsid w:val="00863195"/>
    <w:rsid w:val="00871053"/>
    <w:rsid w:val="00872F86"/>
    <w:rsid w:val="00877270"/>
    <w:rsid w:val="0088056D"/>
    <w:rsid w:val="008949BF"/>
    <w:rsid w:val="008A2590"/>
    <w:rsid w:val="008B1DEA"/>
    <w:rsid w:val="008E3C32"/>
    <w:rsid w:val="008F11CA"/>
    <w:rsid w:val="00904418"/>
    <w:rsid w:val="00911D71"/>
    <w:rsid w:val="0092111F"/>
    <w:rsid w:val="0092637D"/>
    <w:rsid w:val="00934670"/>
    <w:rsid w:val="00972EA2"/>
    <w:rsid w:val="009764B8"/>
    <w:rsid w:val="00976519"/>
    <w:rsid w:val="00996B77"/>
    <w:rsid w:val="009A7E7A"/>
    <w:rsid w:val="009B00E9"/>
    <w:rsid w:val="009B6168"/>
    <w:rsid w:val="009C3D56"/>
    <w:rsid w:val="009D368D"/>
    <w:rsid w:val="009D56BA"/>
    <w:rsid w:val="00A27D8B"/>
    <w:rsid w:val="00A40FA9"/>
    <w:rsid w:val="00A50FE7"/>
    <w:rsid w:val="00A52FFC"/>
    <w:rsid w:val="00A5498F"/>
    <w:rsid w:val="00A57B03"/>
    <w:rsid w:val="00A630C0"/>
    <w:rsid w:val="00A710B3"/>
    <w:rsid w:val="00A72797"/>
    <w:rsid w:val="00A84EFD"/>
    <w:rsid w:val="00A95472"/>
    <w:rsid w:val="00AA29EE"/>
    <w:rsid w:val="00AB4057"/>
    <w:rsid w:val="00AB7235"/>
    <w:rsid w:val="00AC7755"/>
    <w:rsid w:val="00AD27B3"/>
    <w:rsid w:val="00AD5F3B"/>
    <w:rsid w:val="00AE5A94"/>
    <w:rsid w:val="00AF3F1B"/>
    <w:rsid w:val="00B06B6D"/>
    <w:rsid w:val="00B125A0"/>
    <w:rsid w:val="00B14938"/>
    <w:rsid w:val="00B24905"/>
    <w:rsid w:val="00B272FA"/>
    <w:rsid w:val="00B27698"/>
    <w:rsid w:val="00B30A24"/>
    <w:rsid w:val="00B43769"/>
    <w:rsid w:val="00B55096"/>
    <w:rsid w:val="00B606D1"/>
    <w:rsid w:val="00B7299C"/>
    <w:rsid w:val="00B73912"/>
    <w:rsid w:val="00B82DBD"/>
    <w:rsid w:val="00B901FD"/>
    <w:rsid w:val="00B9254C"/>
    <w:rsid w:val="00B95D37"/>
    <w:rsid w:val="00B9747D"/>
    <w:rsid w:val="00BA5F6D"/>
    <w:rsid w:val="00BC2C8A"/>
    <w:rsid w:val="00BC4D6C"/>
    <w:rsid w:val="00BD5AF4"/>
    <w:rsid w:val="00BE7E3C"/>
    <w:rsid w:val="00BF5ECC"/>
    <w:rsid w:val="00C07BCD"/>
    <w:rsid w:val="00C16A02"/>
    <w:rsid w:val="00C16D72"/>
    <w:rsid w:val="00C174A0"/>
    <w:rsid w:val="00C26145"/>
    <w:rsid w:val="00C34BFC"/>
    <w:rsid w:val="00C57469"/>
    <w:rsid w:val="00C60123"/>
    <w:rsid w:val="00C6119A"/>
    <w:rsid w:val="00C64247"/>
    <w:rsid w:val="00C71D60"/>
    <w:rsid w:val="00C72AA5"/>
    <w:rsid w:val="00C75CAB"/>
    <w:rsid w:val="00C8313E"/>
    <w:rsid w:val="00CB6344"/>
    <w:rsid w:val="00CB7623"/>
    <w:rsid w:val="00CC2D86"/>
    <w:rsid w:val="00CD446F"/>
    <w:rsid w:val="00CE35F9"/>
    <w:rsid w:val="00D017AF"/>
    <w:rsid w:val="00D044B3"/>
    <w:rsid w:val="00D16A2B"/>
    <w:rsid w:val="00D23FFB"/>
    <w:rsid w:val="00D251E8"/>
    <w:rsid w:val="00D3147C"/>
    <w:rsid w:val="00D32999"/>
    <w:rsid w:val="00D409D0"/>
    <w:rsid w:val="00D62511"/>
    <w:rsid w:val="00D730CF"/>
    <w:rsid w:val="00D84917"/>
    <w:rsid w:val="00D87DC9"/>
    <w:rsid w:val="00D954B1"/>
    <w:rsid w:val="00D97E0D"/>
    <w:rsid w:val="00DB0712"/>
    <w:rsid w:val="00DB652C"/>
    <w:rsid w:val="00DC5B69"/>
    <w:rsid w:val="00DE254A"/>
    <w:rsid w:val="00DE68EF"/>
    <w:rsid w:val="00DE7052"/>
    <w:rsid w:val="00E072FB"/>
    <w:rsid w:val="00E106CB"/>
    <w:rsid w:val="00E16CEC"/>
    <w:rsid w:val="00E23672"/>
    <w:rsid w:val="00E3780A"/>
    <w:rsid w:val="00E43A9B"/>
    <w:rsid w:val="00E45D83"/>
    <w:rsid w:val="00E460EC"/>
    <w:rsid w:val="00E53294"/>
    <w:rsid w:val="00E548DF"/>
    <w:rsid w:val="00E56A0F"/>
    <w:rsid w:val="00E667D9"/>
    <w:rsid w:val="00E700F1"/>
    <w:rsid w:val="00E8036E"/>
    <w:rsid w:val="00E9043A"/>
    <w:rsid w:val="00E90676"/>
    <w:rsid w:val="00EA1709"/>
    <w:rsid w:val="00EB39FC"/>
    <w:rsid w:val="00EE2F1D"/>
    <w:rsid w:val="00EF629B"/>
    <w:rsid w:val="00F003B9"/>
    <w:rsid w:val="00F05AC4"/>
    <w:rsid w:val="00F32E94"/>
    <w:rsid w:val="00F53CB4"/>
    <w:rsid w:val="00F61786"/>
    <w:rsid w:val="00F63853"/>
    <w:rsid w:val="00F65F4F"/>
    <w:rsid w:val="00F848BC"/>
    <w:rsid w:val="00F9315E"/>
    <w:rsid w:val="00F95E56"/>
    <w:rsid w:val="00FA5BDC"/>
    <w:rsid w:val="00FB0BBE"/>
    <w:rsid w:val="00FB0FD3"/>
    <w:rsid w:val="00FC5DD8"/>
    <w:rsid w:val="00FC6662"/>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D8064"/>
  <w15:chartTrackingRefBased/>
  <w15:docId w15:val="{B0470529-BB35-4CA8-8E49-53189DC8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503BDD"/>
    <w:pPr>
      <w:keepNext/>
      <w:keepLines/>
      <w:spacing w:line="240" w:lineRule="exact"/>
      <w:ind w:left="0" w:right="399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8E3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C32"/>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8E3C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C32"/>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8E3C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C32"/>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8E3C32"/>
    <w:pPr>
      <w:ind w:left="720"/>
      <w:contextualSpacing/>
    </w:pPr>
  </w:style>
  <w:style w:type="character" w:styleId="IntenseEmphasis">
    <w:name w:val="Intense Emphasis"/>
    <w:basedOn w:val="DefaultParagraphFont"/>
    <w:uiPriority w:val="21"/>
    <w:qFormat/>
    <w:rsid w:val="008E3C32"/>
    <w:rPr>
      <w:i/>
      <w:iCs/>
      <w:color w:val="2F5496" w:themeColor="accent1" w:themeShade="BF"/>
    </w:rPr>
  </w:style>
  <w:style w:type="paragraph" w:styleId="IntenseQuote">
    <w:name w:val="Intense Quote"/>
    <w:basedOn w:val="Normal"/>
    <w:next w:val="Normal"/>
    <w:link w:val="IntenseQuoteChar"/>
    <w:uiPriority w:val="30"/>
    <w:qFormat/>
    <w:rsid w:val="008E3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C32"/>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8E3C32"/>
    <w:rPr>
      <w:b/>
      <w:bCs/>
      <w:smallCaps/>
      <w:color w:val="2F5496" w:themeColor="accent1" w:themeShade="BF"/>
      <w:spacing w:val="5"/>
    </w:rPr>
  </w:style>
  <w:style w:type="paragraph" w:styleId="CommentText">
    <w:name w:val="annotation text"/>
    <w:basedOn w:val="Normal"/>
    <w:link w:val="CommentTextChar"/>
    <w:uiPriority w:val="99"/>
    <w:semiHidden/>
    <w:unhideWhenUsed/>
    <w:rsid w:val="00FA5BDC"/>
    <w:pPr>
      <w:spacing w:line="240" w:lineRule="auto"/>
    </w:pPr>
    <w:rPr>
      <w:szCs w:val="20"/>
    </w:rPr>
  </w:style>
  <w:style w:type="character" w:customStyle="1" w:styleId="CommentTextChar">
    <w:name w:val="Comment Text Char"/>
    <w:basedOn w:val="DefaultParagraphFont"/>
    <w:link w:val="CommentText"/>
    <w:uiPriority w:val="99"/>
    <w:semiHidden/>
    <w:rsid w:val="00FA5BD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FA5BDC"/>
    <w:rPr>
      <w:b/>
      <w:bCs/>
    </w:rPr>
  </w:style>
  <w:style w:type="character" w:customStyle="1" w:styleId="CommentSubjectChar">
    <w:name w:val="Comment Subject Char"/>
    <w:basedOn w:val="CommentTextChar"/>
    <w:link w:val="CommentSubject"/>
    <w:uiPriority w:val="99"/>
    <w:semiHidden/>
    <w:rsid w:val="00FA5BDC"/>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DE7052"/>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S/RES/2800(2025)" TargetMode="External"/><Relationship Id="rId39" Type="http://schemas.openxmlformats.org/officeDocument/2006/relationships/hyperlink" Target="https://docs.un.org/en/A/RES/76/274" TargetMode="External"/><Relationship Id="rId21" Type="http://schemas.openxmlformats.org/officeDocument/2006/relationships/hyperlink" Target="https://docs.un.org/en/A/80/604" TargetMode="External"/><Relationship Id="rId34" Type="http://schemas.openxmlformats.org/officeDocument/2006/relationships/hyperlink" Target="https://docs.un.org/en/A/80/623" TargetMode="External"/><Relationship Id="rId42" Type="http://schemas.openxmlformats.org/officeDocument/2006/relationships/hyperlink" Target="https://docs.un.org/en/A/80/623" TargetMode="External"/><Relationship Id="rId47" Type="http://schemas.openxmlformats.org/officeDocument/2006/relationships/hyperlink" Target="https://docs.un.org/en/S/RES/2800(2025)" TargetMode="External"/><Relationship Id="rId50" Type="http://schemas.openxmlformats.org/officeDocument/2006/relationships/hyperlink" Target="https://docs.un.org/en/A/80/604"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800(2025)" TargetMode="External"/><Relationship Id="rId11" Type="http://schemas.openxmlformats.org/officeDocument/2006/relationships/header" Target="header2.xml"/><Relationship Id="rId24" Type="http://schemas.openxmlformats.org/officeDocument/2006/relationships/hyperlink" Target="https://docs.un.org/en/A/80/5(Vol.II)" TargetMode="External"/><Relationship Id="rId32" Type="http://schemas.openxmlformats.org/officeDocument/2006/relationships/hyperlink" Target="https://docs.un.org/en/S/RES/2800(2025)" TargetMode="External"/><Relationship Id="rId37" Type="http://schemas.openxmlformats.org/officeDocument/2006/relationships/hyperlink" Target="https://docs.un.org/en/A/80/623" TargetMode="External"/><Relationship Id="rId40" Type="http://schemas.openxmlformats.org/officeDocument/2006/relationships/hyperlink" Target="https://docs.un.org/en/A/79/724" TargetMode="External"/><Relationship Id="rId45" Type="http://schemas.openxmlformats.org/officeDocument/2006/relationships/hyperlink" Target="https://docs.un.org/en/A/79/724/Add.13" TargetMode="External"/><Relationship Id="rId53" Type="http://schemas.openxmlformats.org/officeDocument/2006/relationships/hyperlink" Target="https://docs.un.org/en/A/80/604" TargetMode="External"/><Relationship Id="rId5"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633" TargetMode="External"/><Relationship Id="rId27" Type="http://schemas.openxmlformats.org/officeDocument/2006/relationships/hyperlink" Target="https://docs.un.org/en/A/80/623" TargetMode="External"/><Relationship Id="rId30" Type="http://schemas.openxmlformats.org/officeDocument/2006/relationships/hyperlink" Target="https://docs.un.org/en/A/80/604" TargetMode="External"/><Relationship Id="rId35" Type="http://schemas.openxmlformats.org/officeDocument/2006/relationships/hyperlink" Target="https://docs.un.org/en/A/RES/76/274" TargetMode="External"/><Relationship Id="rId43" Type="http://schemas.openxmlformats.org/officeDocument/2006/relationships/hyperlink" Target="https://docs.un.org/en/ST/AI/2013/3" TargetMode="External"/><Relationship Id="rId48" Type="http://schemas.openxmlformats.org/officeDocument/2006/relationships/hyperlink" Target="https://docs.un.org/en/A/80/623" TargetMode="Externa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docs.un.org/en/A/80/691"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S/RES/2149(2014)" TargetMode="External"/><Relationship Id="rId33" Type="http://schemas.openxmlformats.org/officeDocument/2006/relationships/hyperlink" Target="https://docs.un.org/en/A/80/623" TargetMode="External"/><Relationship Id="rId38" Type="http://schemas.openxmlformats.org/officeDocument/2006/relationships/hyperlink" Target="https://docs.un.org/en/A/80/604" TargetMode="External"/><Relationship Id="rId46" Type="http://schemas.openxmlformats.org/officeDocument/2006/relationships/hyperlink" Target="https://docs.un.org/en/A/78/744/Add.10" TargetMode="External"/><Relationship Id="rId20" Type="http://schemas.openxmlformats.org/officeDocument/2006/relationships/hyperlink" Target="https://docs.un.org/en/A/80/623" TargetMode="External"/><Relationship Id="rId41" Type="http://schemas.openxmlformats.org/officeDocument/2006/relationships/hyperlink" Target="https://docs.un.org/en/A/79/724/Add.13" TargetMode="External"/><Relationship Id="rId54" Type="http://schemas.openxmlformats.org/officeDocument/2006/relationships/hyperlink" Target="https://docs.un.org/en/A/80/62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RES/78/298" TargetMode="External"/><Relationship Id="rId28" Type="http://schemas.openxmlformats.org/officeDocument/2006/relationships/hyperlink" Target="https://docs.un.org/en/S/RES/2800(2025)" TargetMode="External"/><Relationship Id="rId36" Type="http://schemas.openxmlformats.org/officeDocument/2006/relationships/hyperlink" Target="https://docs.un.org/en/A/80/604" TargetMode="External"/><Relationship Id="rId49" Type="http://schemas.openxmlformats.org/officeDocument/2006/relationships/hyperlink" Target="https://docs.un.org/en/A/80/623"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docs.un.org/en/A/80/623" TargetMode="External"/><Relationship Id="rId44" Type="http://schemas.openxmlformats.org/officeDocument/2006/relationships/hyperlink" Target="https://docs.un.org/en/S/RES/2800(2025)" TargetMode="External"/><Relationship Id="rId52" Type="http://schemas.openxmlformats.org/officeDocument/2006/relationships/hyperlink" Target="https://docs.un.org/en/A/80/62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TotalTime>
  <Pages>20</Pages>
  <Words>9694</Words>
  <Characters>55259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Leila Samuels</cp:lastModifiedBy>
  <cp:revision>3</cp:revision>
  <cp:lastPrinted>2026-04-23T16:37:00Z</cp:lastPrinted>
  <dcterms:created xsi:type="dcterms:W3CDTF">2026-04-23T16:37:00Z</dcterms:created>
  <dcterms:modified xsi:type="dcterms:W3CDTF">2026-04-23T16:37:00Z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2604885</vt:lpwstr>
  </property>
  <property fmtid="{D5CDD505-2E9C-101B-9397-08002B2CF9AE}" pid="3" name="ODSRefJobNo">
    <vt:lpwstr>2607572E</vt:lpwstr>
  </property>
  <property fmtid="{D5CDD505-2E9C-101B-9397-08002B2CF9AE}" pid="4" name="Symbol1">
    <vt:lpwstr>A/80/604/Add.9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150_x000d_</vt:lpwstr>
  </property>
  <property fmtid="{D5CDD505-2E9C-101B-9397-08002B2CF9AE}" pid="15" name="Agenda Title1">
    <vt:lpwstr>Financing of the United Nations Multidimensional Integrated Stabilization Mission in the Central African Republic_x000d_</vt:lpwstr>
  </property>
  <property fmtid="{D5CDD505-2E9C-101B-9397-08002B2CF9AE}" pid="16" name="Title1">
    <vt:lpwstr>Budget performance for the period from 1 July 2024 to 30 June 2025 and proposed budget for the period from 1 July 2026 to 30 June 2027 for the United Nations Multidimensional Integrated Stabilization Mission in the Central African Republic</vt:lpwstr>
  </property>
  <property fmtid="{D5CDD505-2E9C-101B-9397-08002B2CF9AE}" pid="17" name="Title2">
    <vt:lpwstr>Report of the Advisory Committee on Administrative and Budgetary Questions</vt:lpwstr>
  </property>
</Properties>
</file>