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4"/>
        </w:rPr>
        <w:t>导师补充要求：图表与实验汇总</w:t>
      </w:r>
    </w:p>
    <w:p>
      <w:pPr>
        <w:jc w:val="center"/>
      </w:pPr>
      <w:r>
        <w:rPr>
          <w:color w:val="666666"/>
          <w:sz w:val="20"/>
        </w:rPr>
        <w:t>多时间步状态转移网络 + CNN/GCN · SEU DDS 数据集 · 2026-10-02</w:t>
      </w:r>
    </w:p>
    <w:p>
      <w:pPr>
        <w:spacing w:after="80"/>
      </w:pPr>
      <w:r>
        <w:rPr>
          <w:i w:val="0"/>
          <w:sz w:val="21"/>
        </w:rPr>
        <w:t>本文件按导师提出的 7 条要求逐条给出对应图表与实验说明。所有准确率均来自本项目实验记录；涉及超参数的实验只使用验证集（测试集保持封闭），不使用测试集调参。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一、延迟（时间步）：是否需要间隔？取到多少最好？（对应要求 1、2）</w:t>
      </w:r>
    </w:p>
    <w:p>
      <w:pPr>
        <w:spacing w:after="80"/>
      </w:pPr>
      <w:r>
        <w:rPr>
          <w:i w:val="0"/>
          <w:sz w:val="21"/>
        </w:rPr>
        <w:t>实验设置：固定窗口 1600 点 / 步长 800、符号数 6、z-score + 等频边界，只改变状态转移的时间步集合；分别在齿轮箱与轴承的 30 Hz-2 V（较难工况）上训练 CNN，比较验证集准确率。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取法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时间步集合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最大延迟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验证准确率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79.08%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95.17%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97.24%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98.67%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99.54%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99.46%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99.69%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95.94%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97.70%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1,4,7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92.87%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齿轮箱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1,3,5,7,9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97.55%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94.94%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99.77%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连续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1-15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99.92%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1,4,7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轴承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稀疏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1,3,5,7,9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100.00%</w:t>
            </w:r>
          </w:p>
        </w:tc>
      </w:tr>
    </w:tbl>
    <w:p>
      <w:pPr>
        <w:spacing w:after="80"/>
      </w:pPr>
      <w:r>
        <w:rPr>
          <w:i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7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_step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7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  连续取步：验证准确率随最大延迟的变化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3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_sparse_vs_de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2  同一最大延迟下，稀疏取步与连续取步的对比</w:t>
      </w:r>
    </w:p>
    <w:p>
      <w:pPr>
        <w:spacing w:after="80"/>
      </w:pPr>
      <w:r>
        <w:rPr>
          <w:i w:val="0"/>
          <w:sz w:val="21"/>
        </w:rPr>
        <w:t>结论：</w:t>
      </w:r>
    </w:p>
    <w:p>
      <w:pPr>
        <w:pStyle w:val="ListBullet"/>
        <w:spacing w:after="40"/>
      </w:pPr>
      <w:r>
        <w:rPr>
          <w:sz w:val="21"/>
        </w:rPr>
        <w:t>① 延迟太少会丢信息。齿轮箱 30-2 只用 1 步时仅 79.08%，加到 3 步立刻升到 95.17%——说明必须保证足够长的时程覆盖。</w:t>
      </w:r>
    </w:p>
    <w:p>
      <w:pPr>
        <w:pStyle w:val="ListBullet"/>
        <w:spacing w:after="40"/>
      </w:pPr>
      <w:r>
        <w:rPr>
          <w:sz w:val="21"/>
        </w:rPr>
        <w:t>② 存在饱和点。齿轮箱在 9 步达 99.54%，之后 12 步 99.46%、15 步 99.69% 基本不再提升；轴承饱和更早，3 步即 99.77%、5 步起稳定在 100%。超过该点后增加延迟只增加计算量、不带来精度收益。</w:t>
      </w:r>
    </w:p>
    <w:p>
      <w:pPr>
        <w:pStyle w:val="ListBullet"/>
        <w:spacing w:after="40"/>
      </w:pPr>
      <w:r>
        <w:rPr>
          <w:sz w:val="21"/>
        </w:rPr>
        <w:t>③ 建议连续取步、不要间隔。同一最大延迟下，连续取步始终优于间隔取步：最大延迟 7 时，连续 1-7 为 98.67%，而跳着取的 (1,3,5,7) 只有 97.70%、(1,4,7) 只有 92.87%；最大延迟 9 时连续 1-9 为 99.54%，(1,3,5,7,9) 只有 97.55%。</w:t>
      </w:r>
    </w:p>
    <w:p>
      <w:pPr>
        <w:pStyle w:val="ListBullet"/>
        <w:spacing w:after="40"/>
      </w:pPr>
      <w:r>
        <w:rPr>
          <w:sz w:val="21"/>
        </w:rPr>
        <w:t>④ 这一结果与「相邻步信息冗余、可以跳着取」的直觉相反：在本方法的表示下，相邻时间步之间仍携带互补信息，跳过它们会损失判别力；若为压缩通道数而跳取，代价约 1~3 个百分点，(1,4,7) 这类大步跳过则会损失 6 个百分点以上。</w:t>
      </w:r>
    </w:p>
    <w:p>
      <w:pPr>
        <w:pStyle w:val="ListBullet"/>
        <w:spacing w:after="40"/>
      </w:pPr>
      <w:r>
        <w:rPr>
          <w:sz w:val="21"/>
        </w:rPr>
        <w:t>⑤ 综合建议：齿轮箱取连续 1–9 步、轴承取连续 1–5 步，按任务分别设定最优点（本结论在齿轮箱与轴承两个任务上一致，说明该规律稳定）。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二、实验台架、数据集与故障形态（对应要求 3）</w:t>
      </w:r>
    </w:p>
    <w:p>
      <w:pPr>
        <w:spacing w:after="80"/>
      </w:pPr>
      <w:r>
        <w:rPr>
          <w:i w:val="0"/>
          <w:sz w:val="21"/>
        </w:rPr>
        <w:t>数据集：东南大学传动系统动态模拟器（DDS）。台架由电机、电机控制器、行星齿轮箱、减速齿轮箱、负载（磁粉制动器）及负载控制器六部分组成，装有 7 个 608A11 振动传感器，采样频率 5120 Hz。数据集含齿轮与轴承两个子集，各 5 种状态（1 正常 + 4 故障）× 2 种工况（20 Hz-0 V / 30 Hz-2 V）= 20 个数据文件，每文件 1,048,560 个采样点（约 3.4 分钟连续信号）。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DDS_platform_ph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3  东南大学传动系统动态模拟器（DDS）台架实物图（来源：东南大学数据集官方说明）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495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DDS_block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4  实验平台结构框图：故障件安装位置与传感器布置（来源：东南大学数据集官方说明）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63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U_fault_types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5  东南大学数据集故障类型描述表（来源：东南大学数据集官方说明）</w:t>
      </w:r>
    </w:p>
    <w:p>
      <w:pPr>
        <w:spacing w:after="80"/>
      </w:pPr>
      <w:r>
        <w:rPr>
          <w:i w:val="0"/>
          <w:sz w:val="21"/>
        </w:rPr>
        <w:t>各工况、各状态的原始振动信号：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g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6  齿轮箱：两种工况下五类状态的三轴原始振动信号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bear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7  轴承：两种工况下五类状态的三轴原始振动信号</w:t>
      </w:r>
    </w:p>
    <w:p>
      <w:pPr>
        <w:spacing w:after="80"/>
      </w:pPr>
      <w:r>
        <w:rPr>
          <w:i w:val="0"/>
          <w:sz w:val="21"/>
        </w:rPr>
        <w:t>说明：同一故障类型在 20 Hz-0 V 与 30 Hz-2 V 下的波形形态不同（转速与负载改变冲击周期与幅值），这正是「两工况各自独立建模」的原因。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94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schemat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8  齿轮箱与轴承各故障形态示意图</w:t>
      </w:r>
    </w:p>
    <w:p>
      <w:pPr>
        <w:spacing w:after="80"/>
      </w:pPr>
      <w:r>
        <w:rPr>
          <w:i w:val="0"/>
          <w:sz w:val="21"/>
        </w:rPr>
        <w:t>说明：图 8 为按数据集故障类型绘制的机理示意图（红色标出故障位置），用于说明故障发生部位。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319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specimens_re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1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9  齿轮箱与滚动轴承各类故障的实物形态对照（来源见第七节）</w:t>
      </w:r>
    </w:p>
    <w:p>
      <w:pPr>
        <w:spacing w:after="80"/>
      </w:pPr>
      <w:r>
        <w:rPr>
          <w:i w:val="0"/>
          <w:color w:val="8E2B2B"/>
          <w:sz w:val="21"/>
        </w:rPr>
        <w:t>说明：上排为齿轮故障的实物照片（缺齿、崩齿、齿面点蚀、齿根裂纹），下排为滚动轴承故障的实物照片（内圈、外圈、滚动体、复合，红色圆圈标出损伤位置）。东南大学数据集官方仅公开振动信号与故障类型描述，未随数据发布故障件实物照片（官方说明中明确「哪个轴承、齿轮坏了信息未提供」）。因此图 9 取自公开数据集（均为开放获取、CC BY 4.0）中同类型故障的实物照片，用于直观说明各类故障的物理形态，具体来源与许可见第七节；台架与安装位置见图 3、图 4。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三、方法总流程（对应要求 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872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7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10  方法总流程（含训练阶段噪声增广环节）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四、两种工况合并的 t-SNE 特征分布（对应要求 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88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cross_ge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11  齿轮箱：两工况样本的 t-SNE（左：状态转移表示层；右：CNN 高层特征）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88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cross_bear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12  轴承：两工况样本的 t-SNE（左：状态转移表示层；右：CNN 高层特征）</w:t>
      </w:r>
    </w:p>
    <w:p>
      <w:pPr>
        <w:spacing w:after="80"/>
      </w:pPr>
      <w:r>
        <w:rPr>
          <w:i w:val="0"/>
          <w:sz w:val="21"/>
        </w:rPr>
        <w:t>说明：圆圈 = 20 Hz-0 V，三角 = 30 Hz-2 V，颜色 = 故障类别。左图中两工况样本存在明显重叠，说明原始状态转移表示尚不能完全区分工况；右图经 CNN 提取高层特征后，同一故障类在不同工况下各自聚成更紧密的子簇、不同故障类之间分离度显著提高，说明模型学到的是与故障机理相关的判别特征，而工况差异被压缩为一个可控的偏移。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五、加入噪声后的结果（对应要求 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33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c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13  加噪训练 / 加噪测试：不同信噪比下的准确率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33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cn_traincle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14  干净训练 / 加噪测试：零样本抗噪能力</w:t>
      </w:r>
    </w:p>
    <w:p>
      <w:pPr>
        <w:spacing w:after="80"/>
      </w:pPr>
      <w:r>
        <w:rPr>
          <w:i w:val="0"/>
          <w:sz w:val="21"/>
        </w:rPr>
        <w:t>结论：</w:t>
      </w:r>
    </w:p>
    <w:p>
      <w:pPr>
        <w:pStyle w:val="ListBullet"/>
        <w:spacing w:after="40"/>
      </w:pPr>
      <w:r>
        <w:rPr>
          <w:sz w:val="21"/>
        </w:rPr>
        <w:t>图 13（加噪训练 / 加噪测试，与文献同协议）：轴承在 −4 dB 强噪声下仍保持 91.7%~95.7%，齿轮箱为 46.9%~67.1%；轴承的抗噪是本文方法的优势项，齿轮箱相对较弱，如实报告、不作优势论据。</w:t>
      </w:r>
    </w:p>
    <w:p>
      <w:pPr>
        <w:pStyle w:val="ListBullet"/>
        <w:spacing w:after="40"/>
      </w:pPr>
      <w:r>
        <w:rPr>
          <w:sz w:val="21"/>
        </w:rPr>
        <w:t>图 14（干净训练 / 加噪测试，零样本）：训练阶段完全没见过噪声时，所有配置都大幅掉点（−4 dB 时轴承 29.8%~58.0%、齿轮箱 25.7%~29.7%）。主要原因是：① 加噪后信号总方差增大，z-score 归一化相当于把有效信号进一步缩小；② 等频符号化边界是在干净数据上估计的，噪声使幅值分布变宽、大量样本越过原边界发生符号翻转；③ 随机符号抖动使状态转移矩阵趋向均匀、对角线（状态维持）概率下降，模型学到的判别结构被破坏。齿轮故障特征（调制、微小剥落）本就比轴承冲击特征更弥散，因此掉点更早、更深。</w:t>
      </w:r>
    </w:p>
    <w:p>
      <w:pPr>
        <w:pStyle w:val="ListBullet"/>
        <w:spacing w:after="40"/>
      </w:pPr>
      <w:r>
        <w:rPr>
          <w:sz w:val="21"/>
        </w:rPr>
        <w:t>图 13 与图 14 对比说明：掉点的主因不是方法本身，而是训练分布未覆盖噪声——同样 −4 dB，训练时加入噪声增广后轴承可恢复到 91.7%~95.7%。因此本文方法在训练阶段正式加入噪声增广环节（流程见图 10 第 7 步）：对训练信号注入多 SNR 高斯白噪声后按原流程编码，使模型在训练时即见过噪声分布，从而获得抗噪能力；同等效果也可通过在带噪数据上重新估计符号化边界实现。</w:t>
      </w:r>
    </w:p>
    <w:p>
      <w:pPr>
        <w:pStyle w:val="ListBullet"/>
        <w:spacing w:after="40"/>
      </w:pPr>
      <w:r>
        <w:rPr>
          <w:sz w:val="21"/>
        </w:rPr>
        <w:t>两工况对比：图 13 中 20 Hz-0 V 优于 30 Hz-2 V；图 14 中轴承 30 Hz-2 V（58.0%）反而高于20 Hz-0 V（29.8%），即干净数据上更准的模型零样本抗噪未必更稳（精度-鲁棒性权衡），如实报告。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六、不同工况的状态转移矩阵（对应要求 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945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_matrices_ge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15  齿轮箱：两工况下各类的一步状态转移概率矩阵及差值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945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_matrices_bear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16  轴承：两工况下各类的一步状态转移概率矩阵及差值</w:t>
      </w:r>
    </w:p>
    <w:p>
      <w:pPr>
        <w:spacing w:after="80"/>
      </w:pPr>
      <w:r>
        <w:rPr>
          <w:i w:val="0"/>
          <w:sz w:val="21"/>
        </w:rPr>
        <w:t>说明：每列自上而下为 20 Hz-0 V、30 Hz-2 V 以及两者之差（红 = 30-2 概率更高，蓝 = 20-0 更高）；TVD 为两概率矩阵的总变差距离，数值越大说明该故障类受工况影响越明显。</w:t>
      </w:r>
    </w:p>
    <w:p>
      <w:pPr>
        <w:spacing w:after="80"/>
      </w:pPr>
      <w:r>
        <w:rPr>
          <w:i w:val="0"/>
          <w:sz w:val="21"/>
        </w:rPr>
        <w:t>可读出的规律：</w:t>
      </w:r>
    </w:p>
    <w:p>
      <w:pPr>
        <w:pStyle w:val="ListBullet"/>
        <w:spacing w:after="40"/>
      </w:pPr>
      <w:r>
        <w:rPr>
          <w:sz w:val="21"/>
        </w:rPr>
        <w:t>各故障类都存在「状态维持」（对角线）概率显著偏高的现象——振动信号在相邻采样点上状态变化缓慢，这符合物理直觉。</w:t>
      </w:r>
    </w:p>
    <w:p>
      <w:pPr>
        <w:pStyle w:val="ListBullet"/>
        <w:spacing w:after="40"/>
      </w:pPr>
      <w:r>
        <w:rPr>
          <w:sz w:val="21"/>
        </w:rPr>
        <w:t>工况差异并非均匀分布：齿轮箱中 Chipped（齿面剥落）类的两工况差异最大，而 Miss / Root 类差异较小，说明不同故障机理对转速-负载变化的敏感度不同。</w:t>
      </w:r>
    </w:p>
    <w:p>
      <w:pPr>
        <w:pStyle w:val="ListBullet"/>
        <w:spacing w:after="40"/>
      </w:pPr>
      <w:r>
        <w:rPr>
          <w:sz w:val="21"/>
        </w:rPr>
        <w:t>差值矩阵中的成对红蓝块（某处 30-2 更高、对应处 20-0 更高）反映了概率质量在状态对之间的重新分配，即工况改变了状态转移的路径结构，而不只是整体缩放。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七、图片来源与引用说明</w:t>
      </w:r>
    </w:p>
    <w:p>
      <w:pPr>
        <w:spacing w:after="80"/>
      </w:pPr>
      <w:r>
        <w:rPr>
          <w:i w:val="0"/>
          <w:sz w:val="21"/>
        </w:rPr>
        <w:t>本文件中图 3、图 4、图 5 为东南大学数据集官方发布的台架实物图、结构框图与故障类型描述表，已按数据集官方要求注明来源；图 1、图 2、图 6~图 8、图 10~图 16 为本项目实验与绘图产出；图 9（各类故障实物照片）取自公开数据集，均按开放获取许可（CC BY 4.0）使用，明细如下。</w:t>
      </w:r>
    </w:p>
    <w:p>
      <w:pPr>
        <w:pStyle w:val="ListBullet"/>
        <w:spacing w:after="40"/>
      </w:pPr>
      <w:r>
        <w:rPr>
          <w:sz w:val="21"/>
        </w:rPr>
        <w:t>数据集引用：Shao S, McAleer S, Yan R, Baldi P. Highly Accurate Machine Fault Diagnosis Using Deep Transfer Learning[J]. IEEE Transactions on Industrial Informatics, 2019, 15(4): 2446-2455.</w:t>
      </w:r>
    </w:p>
    <w:p>
      <w:pPr>
        <w:pStyle w:val="ListBullet"/>
        <w:spacing w:after="40"/>
      </w:pPr>
      <w:r>
        <w:rPr>
          <w:sz w:val="21"/>
        </w:rPr>
        <w:t>数据集获取：https://github.com/cathysiyu/Mechanical-datasets（gearbox 子目录）。</w:t>
      </w:r>
    </w:p>
    <w:p>
      <w:pPr>
        <w:pStyle w:val="ListBullet"/>
        <w:spacing w:after="40"/>
      </w:pPr>
      <w:r>
        <w:rPr>
          <w:sz w:val="21"/>
        </w:rPr>
        <w:t>台架与故障类型说明：东南大学数据集官方说明文档（实验平台实物图、结构框图、故障类型表）。</w:t>
      </w:r>
    </w:p>
    <w:p>
      <w:pPr>
        <w:pStyle w:val="ListBullet"/>
        <w:spacing w:after="40"/>
      </w:pPr>
      <w:r>
        <w:rPr>
          <w:sz w:val="21"/>
        </w:rPr>
        <w:t>图 9 齿轮「缺齿 / 崩齿」实物照片：Machines, 2025, 13(10), 893（MDPI 开放获取，CC BY 4.0）。</w:t>
      </w:r>
    </w:p>
    <w:p>
      <w:pPr>
        <w:pStyle w:val="ListBullet"/>
        <w:spacing w:after="40"/>
      </w:pPr>
      <w:r>
        <w:rPr>
          <w:sz w:val="21"/>
        </w:rPr>
        <w:t>图 9 齿轮「齿面点蚀 / 齿根裂纹」实物照片：He H, Mura A, Zhang T, Liu H, Xu W. Investigation of Crack Propagation Behaviour in Thin-Rim Gears: Experimental Tests and Numerical Simulations[J]. Materials, 2023, 16(11), 4095. doi:10.3390/ma16114095（MDPI 开放获取，CC BY 4.0）。</w:t>
      </w:r>
    </w:p>
    <w:p>
      <w:pPr>
        <w:pStyle w:val="ListBullet"/>
        <w:spacing w:after="40"/>
      </w:pPr>
      <w:r>
        <w:rPr>
          <w:sz w:val="21"/>
        </w:rPr>
        <w:t>图 9 轴承「内圈 / 外圈 / 滚动体 / 复合」实物照片：Nguyen D T, Hoang H S. HUST bearing: a practical dataset for ball bearing fault diagnosis[J]. BMC Research Notes, 2023, 16(1): 138. doi:10.1186/s13104-023-06400-4（数据：Mendeley Data, doi:10.17632/cbv7jyx4p9.3，CC BY 4.0）。</w:t>
      </w:r>
    </w:p>
    <w:p>
      <w:pPr>
        <w:spacing w:before="280" w:after="100"/>
      </w:pPr>
      <w:r>
        <w:rPr>
          <w:rFonts w:ascii="黑体" w:hAnsi="黑体" w:eastAsia="黑体"/>
          <w:b/>
          <w:color w:val="1F3B63"/>
          <w:sz w:val="27"/>
        </w:rPr>
        <w:t>八、遗留事项</w:t>
      </w:r>
    </w:p>
    <w:p>
      <w:pPr>
        <w:spacing w:after="80"/>
      </w:pPr>
      <w:r>
        <w:rPr>
          <w:i w:val="0"/>
          <w:sz w:val="21"/>
        </w:rPr>
        <w:t>「各种故障的实物图」：东南大学数据集官方仅公开振动信号与故障类型描述，未随数据发布各故障件的单独实物照片（官方说明中明确「哪个轴承、齿轮坏了信息未提供」）。本项目已用官方台架实物图（图 3）、结构框图（图 4）、故障类型表（图 5）、自绘机理示意图（图 8）作为替代，并补充了公开数据集（CC BY 4.0）中同类型故障的实物照片（图 9）。</w:t>
      </w:r>
    </w:p>
    <w:p>
      <w:pPr>
        <w:pStyle w:val="ListBullet"/>
        <w:spacing w:after="40"/>
      </w:pPr>
      <w:r>
        <w:rPr>
          <w:sz w:val="21"/>
        </w:rPr>
        <w:t>说明：图 9 的实物照片并非东南大学 DDS 台架上那几件故障件本身，而是公开数据集中同类型故障的真实零件照片，用于直观说明「缺齿、崩齿、齿面点蚀、齿根裂纹」与「内圈、外圈、滚动体、复合」这些故障的物理形态；引用时请保留第七节所列来源。</w:t>
      </w:r>
    </w:p>
    <w:p>
      <w:pPr>
        <w:pStyle w:val="ListBullet"/>
        <w:spacing w:after="40"/>
      </w:pPr>
      <w:r>
        <w:rPr>
          <w:sz w:val="21"/>
        </w:rPr>
        <w:t>可选补充一：取自东南大学数据集原论文 Shao et al., IEEE TII 2019, 15(4): 2446-2455 的故障件插图（该图版权属 IEEE，引用需注明出处）。</w:t>
      </w:r>
    </w:p>
    <w:p>
      <w:pPr>
        <w:pStyle w:val="ListBullet"/>
        <w:spacing w:after="40"/>
      </w:pPr>
      <w:r>
        <w:rPr>
          <w:sz w:val="21"/>
        </w:rPr>
        <w:t>可选补充二：若实验室有同型 DDS 台架，自行拍摄各故障件照片，最稳妥且无版权顾虑。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