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4"/>
        </w:rPr>
        <w:t>导师补充要求：图表与实验汇总（v2 · 按录音意见修订）</w:t>
      </w:r>
    </w:p>
    <w:p>
      <w:pPr>
        <w:jc w:val="center"/>
      </w:pPr>
      <w:r>
        <w:rPr>
          <w:color w:val="666666"/>
          <w:sz w:val="20"/>
        </w:rPr>
        <w:t>多时间步状态转移网络 + CNN/GCN · SEU DDS 数据集 · 2026-10-03</w:t>
      </w:r>
    </w:p>
    <w:p>
      <w:pPr>
        <w:spacing w:after="80"/>
      </w:pPr>
      <w:r>
        <w:rPr>
          <w:i w:val="0"/>
          <w:sz w:val="21"/>
        </w:rPr>
        <w:t>本版按导师 2026-10-03 录音反馈逐条修订。相对上一版的主要变化：①删去延迟消融两张曲线图（导师认为表格已说清）；②删去正文中的拼版故障实物照片，故障形态仅保留自绘示意图；③信号图三轴加透明度；④流程图缩小紧凑，并新增「分步示意图」与「GCN 网络结构图」；⑤噪声实验补充「SNR 注入校准验证」并把信噪比范围扩展到 40→−4 dB 完整曲线；⑥状态转移矩阵改为 x/y/z 分轴展示并加颜色条；⑦新增「方法细节核查」一节，用实验数据回答 z-score 作用、等频与等宽的取舍、符号数取 6 的依据三个问题。</w:t>
      </w:r>
    </w:p>
    <w:p>
      <w:pPr>
        <w:spacing w:before="280" w:after="100"/>
      </w:pPr>
      <w:r>
        <w:rPr>
          <w:rFonts w:ascii="黑体" w:hAnsi="黑体" w:eastAsia="黑体"/>
          <w:b/>
          <w:color w:val="1F3B63"/>
          <w:sz w:val="27"/>
        </w:rPr>
        <w:t>一、延迟（时间步）：是否需要间隔？取到多少最好？（对应要求 1、2）</w:t>
      </w:r>
    </w:p>
    <w:p>
      <w:pPr>
        <w:spacing w:after="80"/>
      </w:pPr>
      <w:r>
        <w:rPr>
          <w:i w:val="0"/>
          <w:sz w:val="21"/>
        </w:rPr>
        <w:t>实验设置：固定窗口 1600 点 / 步长 800、符号数 6，只改变状态转移的时间步集合；在齿轮箱与轴承的 30 Hz-2 V（较难工况）上训练 CNN，比较验证集准确率。（按导师意见，本版删去趋势曲线图，仅保留结论表。）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/>
            <w:r>
              <w:rPr>
                <w:b/>
                <w:sz w:val="19"/>
              </w:rPr>
              <w:t>任务</w:t>
            </w:r>
          </w:p>
        </w:tc>
        <w:tc>
          <w:tcPr>
            <w:tcW w:type="dxa" w:w="1930"/>
          </w:tcPr>
          <w:p>
            <w:r/>
            <w:r>
              <w:rPr>
                <w:b/>
                <w:sz w:val="19"/>
              </w:rPr>
              <w:t>取法</w:t>
            </w:r>
          </w:p>
        </w:tc>
        <w:tc>
          <w:tcPr>
            <w:tcW w:type="dxa" w:w="1930"/>
          </w:tcPr>
          <w:p>
            <w:r/>
            <w:r>
              <w:rPr>
                <w:b/>
                <w:sz w:val="19"/>
              </w:rPr>
              <w:t>时间步集合</w:t>
            </w:r>
          </w:p>
        </w:tc>
        <w:tc>
          <w:tcPr>
            <w:tcW w:type="dxa" w:w="1930"/>
          </w:tcPr>
          <w:p>
            <w:r/>
            <w:r>
              <w:rPr>
                <w:b/>
                <w:sz w:val="19"/>
              </w:rPr>
              <w:t>最大延迟</w:t>
            </w:r>
          </w:p>
        </w:tc>
        <w:tc>
          <w:tcPr>
            <w:tcW w:type="dxa" w:w="1930"/>
          </w:tcPr>
          <w:p>
            <w:r/>
            <w:r>
              <w:rPr>
                <w:b/>
                <w:sz w:val="19"/>
              </w:rPr>
              <w:t>验证准确率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连续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79.08%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连续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1-3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95.17%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连续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1-5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97.24%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连续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1-7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98.67%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连续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1-9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99.54%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连续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1-12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99.46%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连续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1-15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99.69%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稀疏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1,3,5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95.94%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稀疏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1,3,5,7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97.70%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稀疏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1,4,7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92.87%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稀疏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1,3,5,7,9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97.55%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连续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94.94%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连续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1-3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99.77%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连续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1-5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100.00%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连续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1-7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100.00%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连续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1-9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100.00%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连续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1-12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100.00%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连续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1-15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100.00%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稀疏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1,3,5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99.92%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稀疏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1,3,5,7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100.00%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稀疏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1,4,7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100.00%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稀疏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1,3,5,7,9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100.00%</w:t>
            </w:r>
          </w:p>
        </w:tc>
      </w:tr>
    </w:tbl>
    <w:p>
      <w:pPr>
        <w:spacing w:after="80"/>
      </w:pPr>
      <w:r>
        <w:rPr>
          <w:i w:val="0"/>
          <w:sz w:val="21"/>
        </w:rPr>
        <w:t>结论：</w:t>
      </w:r>
    </w:p>
    <w:p>
      <w:pPr>
        <w:pStyle w:val="ListBullet"/>
        <w:spacing w:after="40"/>
      </w:pPr>
      <w:r>
        <w:rPr>
          <w:sz w:val="21"/>
        </w:rPr>
        <w:t>① 延迟太少会丢信息。齿轮箱 30-2 只用 1 步时仅 79.08%，加到 3 步立刻升到 95.17%。</w:t>
      </w:r>
    </w:p>
    <w:p>
      <w:pPr>
        <w:pStyle w:val="ListBullet"/>
        <w:spacing w:after="40"/>
      </w:pPr>
      <w:r>
        <w:rPr>
          <w:sz w:val="21"/>
        </w:rPr>
        <w:t>② 存在饱和点。齿轮箱在 9 步达 99.54%，此后 12/15 步基本不再提升（15 步 99.69%，仅 +0.15 个百分点，属波动范围）；轴承更早，5 步起稳定在 100%。超过饱和点后增加延迟只增加计算量。</w:t>
      </w:r>
    </w:p>
    <w:p>
      <w:pPr>
        <w:pStyle w:val="ListBullet"/>
        <w:spacing w:after="40"/>
      </w:pPr>
      <w:r>
        <w:rPr>
          <w:sz w:val="21"/>
        </w:rPr>
        <w:t>③ 连续取步优于间隔取步。最大延迟 7 时，连续 1-7 为 98.67%，跳取 (1,3,5,7) 为 97.70%、(1,4,7) 只有 92.87%——在本方法的表示下，相邻时间步携带互补信息，跳过会损失判别力。</w:t>
      </w:r>
    </w:p>
    <w:p>
      <w:pPr>
        <w:pStyle w:val="ListBullet"/>
        <w:spacing w:after="40"/>
      </w:pPr>
      <w:r>
        <w:rPr>
          <w:sz w:val="21"/>
        </w:rPr>
        <w:t>④ 综合建议：齿轮箱取连续 1–9 步、轴承取连续 1–5 步，按任务分别设定最优点。</w:t>
      </w:r>
    </w:p>
    <w:p>
      <w:pPr>
        <w:spacing w:before="280" w:after="100"/>
      </w:pPr>
      <w:r>
        <w:rPr>
          <w:rFonts w:ascii="黑体" w:hAnsi="黑体" w:eastAsia="黑体"/>
          <w:b/>
          <w:color w:val="1F3B63"/>
          <w:sz w:val="27"/>
        </w:rPr>
        <w:t>二、实验台架、数据集与故障形态（对应要求 3）</w:t>
      </w:r>
    </w:p>
    <w:p>
      <w:pPr>
        <w:spacing w:after="80"/>
      </w:pPr>
      <w:r>
        <w:rPr>
          <w:i w:val="0"/>
          <w:sz w:val="21"/>
        </w:rPr>
        <w:t>数据集：东南大学传动系统动态模拟器（DDS）。台架由电机、电机控制器、行星齿轮箱、减速齿轮箱、负载（磁粉制动器）及负载控制器六部分组成，装有 7 个 608A11 振动传感器，采样频率 5120 Hz。数据集含齿轮与轴承两个子集，各 5 种状态（1 正常 + 4 故障）× 2 种工况（20 Hz-0 V / 30 Hz-2 V）= 20 个数据文件，每文件 1,048,560 个采样点（约 3.4 分钟连续信号）。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8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U_DDS_platform_pho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1  东南大学传动系统动态模拟器（DDS）台架实物图（来源：东南大学数据集官方说明）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495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U_DDS_block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49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2  实验平台结构框图：故障件安装位置与传感器布置（来源：东南大学数据集官方说明）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0632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U_fault_types_tab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3  东南大学数据集故障类型描述表（来源：东南大学数据集官方说明）</w:t>
      </w:r>
    </w:p>
    <w:p>
      <w:pPr>
        <w:spacing w:after="80"/>
      </w:pPr>
      <w:r>
        <w:rPr>
          <w:i w:val="0"/>
          <w:sz w:val="21"/>
        </w:rPr>
        <w:t>各工况、各状态的原始振动信号（三轴已加透明度，避免相互遮挡）：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89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ls_ge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8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4  齿轮箱：两种工况下五类状态的三轴原始振动信号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897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ls_bear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8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5  轴承：两种工况下五类状态的三轴原始振动信号</w:t>
      </w:r>
    </w:p>
    <w:p>
      <w:pPr>
        <w:spacing w:after="80"/>
      </w:pPr>
      <w:r>
        <w:rPr>
          <w:i w:val="0"/>
          <w:sz w:val="21"/>
        </w:rPr>
        <w:t>说明：同一故障类型在 20 Hz-0 V 与 30 Hz-2 V 下的波形形态不同（转速与负载改变冲击周期与幅值），这正是「两工况各自独立建模」的原因。</w:t>
      </w:r>
    </w:p>
    <w:p>
      <w:pPr>
        <w:spacing w:after="80"/>
      </w:pPr>
      <w:r>
        <w:rPr>
          <w:i w:val="0"/>
          <w:sz w:val="21"/>
        </w:rPr>
        <w:t>按导师意见，故障形态采用示意图呈现（不再使用来源驳杂的拼版实物照片）：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094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ult_schemati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09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6  齿轮箱与轴承各故障形态示意图（红色标出故障位置；机理示意，非实物照片）</w:t>
      </w:r>
    </w:p>
    <w:p>
      <w:pPr>
        <w:spacing w:before="280" w:after="100"/>
      </w:pPr>
      <w:r>
        <w:rPr>
          <w:rFonts w:ascii="黑体" w:hAnsi="黑体" w:eastAsia="黑体"/>
          <w:b/>
          <w:color w:val="1F3B63"/>
          <w:sz w:val="27"/>
        </w:rPr>
        <w:t>三、方法总流程（对应要求 4）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49949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994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7  方法总流程（8 步，含训练阶段噪声增广环节）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39696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resentation_step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396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8  状态转移表示层分步示意：三通道信号 → 分窗取段 → z-score + 等频符号化（A–F 六状态）→ 一步转移概率矩阵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6069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cn_networ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0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9  GCN 的图结构：6 个符号状态构成有向加权网络（节点 = 幅值状态；边粗细 ∝ 转移概率；外圈绿环 = 状态维持自环）</w:t>
      </w:r>
    </w:p>
    <w:p>
      <w:pPr>
        <w:spacing w:before="280" w:after="100"/>
      </w:pPr>
      <w:r>
        <w:rPr>
          <w:rFonts w:ascii="黑体" w:hAnsi="黑体" w:eastAsia="黑体"/>
          <w:b/>
          <w:color w:val="1F3B63"/>
          <w:sz w:val="27"/>
        </w:rPr>
        <w:t>四、方法细节核查：z-score、符号化方式与符号数（新增实验）</w:t>
      </w:r>
    </w:p>
    <w:p>
      <w:pPr>
        <w:spacing w:after="80"/>
      </w:pPr>
      <w:r>
        <w:rPr>
          <w:i w:val="0"/>
          <w:sz w:val="21"/>
        </w:rPr>
        <w:t>导师指出：方法里写上去的每一个字都要能自己解释。本节对三个被点名的方法细节补做实验，用数据回答。</w:t>
      </w:r>
    </w:p>
    <w:p>
      <w:pPr>
        <w:spacing w:before="160" w:after="60"/>
      </w:pPr>
      <w:r>
        <w:rPr>
          <w:b/>
          <w:color w:val="2A4E7E"/>
          <w:sz w:val="23"/>
        </w:rPr>
        <w:t>4.1  z-score 是否多余？（实验回答：在本数据集上基本冗余，如实报告）</w:t>
      </w:r>
    </w:p>
    <w:p>
      <w:pPr>
        <w:spacing w:after="80"/>
      </w:pPr>
      <w:r>
        <w:rPr>
          <w:i w:val="0"/>
          <w:sz w:val="21"/>
        </w:rPr>
        <w:t>实验：其余设置全部固定，仅开关逐窗 z-score，对比测试准确率。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b/>
                <w:sz w:val="19"/>
              </w:rPr>
              <w:t>任务</w:t>
            </w:r>
          </w:p>
        </w:tc>
        <w:tc>
          <w:tcPr>
            <w:tcW w:type="dxa" w:w="2412"/>
          </w:tcPr>
          <w:p>
            <w:r/>
            <w:r>
              <w:rPr>
                <w:b/>
                <w:sz w:val="19"/>
              </w:rPr>
              <w:t>工况</w:t>
            </w:r>
          </w:p>
        </w:tc>
        <w:tc>
          <w:tcPr>
            <w:tcW w:type="dxa" w:w="2412"/>
          </w:tcPr>
          <w:p>
            <w:r/>
            <w:r>
              <w:rPr>
                <w:b/>
                <w:sz w:val="19"/>
              </w:rPr>
              <w:t>归一化</w:t>
            </w:r>
          </w:p>
        </w:tc>
        <w:tc>
          <w:tcPr>
            <w:tcW w:type="dxa" w:w="2412"/>
          </w:tcPr>
          <w:p>
            <w:r/>
            <w:r>
              <w:rPr>
                <w:b/>
                <w:sz w:val="19"/>
              </w:rPr>
              <w:t>测试准确率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20-0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有 z-score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99.85%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20-0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无 z-score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99.85%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30-2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有 z-score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100.00%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30-2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无 z-score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100.00%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20-0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有 z-score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99.69%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20-0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无 z-score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99.85%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30-2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有 z-score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98.31%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30-2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无 z-score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99.08%</w:t>
            </w:r>
          </w:p>
        </w:tc>
      </w:tr>
    </w:tbl>
    <w:p>
      <w:pPr>
        <w:spacing w:after="80"/>
      </w:pPr>
      <w:r>
        <w:rPr>
          <w:i w:val="0"/>
          <w:sz w:val="21"/>
        </w:rPr>
        <w:t>去掉 z-score 后各配置的变化：轴承 20-0：+0.00 个百分点；轴承 30-2：+0.00 个百分点；齿轮箱 20-0：+0.16 个百分点；齿轮箱 30-2：+0.77 个百分点。</w:t>
      </w:r>
    </w:p>
    <w:p>
      <w:pPr>
        <w:spacing w:after="80"/>
      </w:pPr>
      <w:r>
        <w:rPr>
          <w:i w:val="0"/>
          <w:color w:val="8E2B2B"/>
          <w:sz w:val="21"/>
        </w:rPr>
        <w:t>结论：导师的判断是对的——在本文数据集上 z-score 对精度没有实质影响：轴承两种工况完全相同，齿轮两种工况下去掉 z-score 反而略高（+0.16 / +0.77 个百分点），方向不一致，属波动范围。机理解释：SEU 各窗口的幅值均值与标准差本身很稳定，逐窗 z-score 近似于一个全局仿射变换；而等频分位边界对仿射（单调）变换不变，因此符号化结果与转移矩阵基本不变，精度自然不变。z-score 在方法中的定位是「窗间幅值量级波动较大时的防护性预处理」，在本文数据上属于无害的冗余步骤；正式表述中将如实写明这一点，不将其列为有效环节。</w:t>
      </w:r>
    </w:p>
    <w:p>
      <w:pPr>
        <w:spacing w:before="160" w:after="60"/>
      </w:pPr>
      <w:r>
        <w:rPr>
          <w:b/>
          <w:color w:val="2A4E7E"/>
          <w:sz w:val="23"/>
        </w:rPr>
        <w:t>4.2  「等频」的叫法与等频 / 等宽的取舍</w:t>
      </w:r>
    </w:p>
    <w:p>
      <w:pPr>
        <w:spacing w:after="80"/>
      </w:pPr>
      <w:r>
        <w:rPr>
          <w:i w:val="0"/>
          <w:sz w:val="21"/>
        </w:rPr>
        <w:t>术语澄清：本文把每个窗口的幅值按训练集分位点划分为 6 档，使每档内的采样点数大致相等——严格的术语是「等频分位划分」（equal-frequency / quantile binning），与「等宽划分」（equal-width，把幅值范围均分成 6 段）是两种不同做法。两者都在实验中进行了对比：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b/>
                <w:sz w:val="19"/>
              </w:rPr>
              <w:t>任务</w:t>
            </w:r>
          </w:p>
        </w:tc>
        <w:tc>
          <w:tcPr>
            <w:tcW w:type="dxa" w:w="2412"/>
          </w:tcPr>
          <w:p>
            <w:r/>
            <w:r>
              <w:rPr>
                <w:b/>
                <w:sz w:val="19"/>
              </w:rPr>
              <w:t>工况</w:t>
            </w:r>
          </w:p>
        </w:tc>
        <w:tc>
          <w:tcPr>
            <w:tcW w:type="dxa" w:w="2412"/>
          </w:tcPr>
          <w:p>
            <w:r/>
            <w:r>
              <w:rPr>
                <w:b/>
                <w:sz w:val="19"/>
              </w:rPr>
              <w:t>符号化边界</w:t>
            </w:r>
          </w:p>
        </w:tc>
        <w:tc>
          <w:tcPr>
            <w:tcW w:type="dxa" w:w="2412"/>
          </w:tcPr>
          <w:p>
            <w:r/>
            <w:r>
              <w:rPr>
                <w:b/>
                <w:sz w:val="19"/>
              </w:rPr>
              <w:t>测试准确率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20-0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等频（分位）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99.85%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20-0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等宽（幅值均分）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99.69%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30-2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等频（分位）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100.00%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30-2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等宽（幅值均分）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100.00%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20-0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等频（分位）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99.69%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20-0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等宽（幅值均分）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91.38%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30-2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等频（分位）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98.31%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30-2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等宽（幅值均分）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91.69%</w:t>
            </w:r>
          </w:p>
        </w:tc>
      </w:tr>
    </w:tbl>
    <w:p>
      <w:pPr>
        <w:spacing w:after="80"/>
      </w:pPr>
      <w:r>
        <w:rPr>
          <w:i w:val="0"/>
          <w:sz w:val="21"/>
        </w:rPr>
        <w:t>对比结果——轴承 20-0：等频 99.85% vs 等宽 99.69%；轴承 30-2：等频 100.00% vs 等宽 100.00%；齿轮箱 20-0：等频 99.69% vs 等宽 91.38%；齿轮箱 30-2：等频 98.31% vs 等宽 91.69%。</w:t>
      </w:r>
    </w:p>
    <w:p>
      <w:pPr>
        <w:spacing w:after="80"/>
      </w:pPr>
      <w:r>
        <w:rPr>
          <w:i w:val="0"/>
          <w:sz w:val="21"/>
        </w:rPr>
        <w:t>结论：等频分位划分全面不劣于等宽划分，且在齿轮箱上优势巨大（20 Hz-0 V 下 99.69% 对 91.38%，相差约 8 个百分点）。原因：振动幅值分布高度不均匀（大量低幅值采样点 + 少量高幅值冲击），等宽划分会把绝大多数点压进最低的一两档、高幅值档位几乎没有样本，转移矩阵的行分布严重失衡；等频划分让每个档位都有足够样本，状态空间被充分利用。因此本文保留等频方案，并统一采用「等频分位划分」的准确术语。</w:t>
      </w:r>
    </w:p>
    <w:p>
      <w:pPr>
        <w:spacing w:before="160" w:after="60"/>
      </w:pPr>
      <w:r>
        <w:rPr>
          <w:b/>
          <w:color w:val="2A4E7E"/>
          <w:sz w:val="23"/>
        </w:rPr>
        <w:t>4.3  为什么分 6 组？分组数消融（4–10 组）</w:t>
      </w:r>
    </w:p>
    <w:p>
      <w:pPr>
        <w:spacing w:after="80"/>
      </w:pPr>
      <w:r>
        <w:rPr>
          <w:i w:val="0"/>
          <w:sz w:val="21"/>
        </w:rPr>
        <w:t>固定其余设置，把符号状态数从 4 到 10 逐个扫描：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6911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ns_ablation_c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69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10  符号数消融：不同分组数下的测试准确率（6 为本文默认值）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/>
            <w:r>
              <w:rPr>
                <w:b/>
                <w:sz w:val="19"/>
              </w:rPr>
              <w:t>任务</w:t>
            </w:r>
          </w:p>
        </w:tc>
        <w:tc>
          <w:tcPr>
            <w:tcW w:type="dxa" w:w="1930"/>
          </w:tcPr>
          <w:p>
            <w:r/>
            <w:r>
              <w:rPr>
                <w:b/>
                <w:sz w:val="19"/>
              </w:rPr>
              <w:t>工况</w:t>
            </w:r>
          </w:p>
        </w:tc>
        <w:tc>
          <w:tcPr>
            <w:tcW w:type="dxa" w:w="1930"/>
          </w:tcPr>
          <w:p>
            <w:r/>
            <w:r>
              <w:rPr>
                <w:b/>
                <w:sz w:val="19"/>
              </w:rPr>
              <w:t>各分组数准确率</w:t>
            </w:r>
          </w:p>
        </w:tc>
        <w:tc>
          <w:tcPr>
            <w:tcW w:type="dxa" w:w="1930"/>
          </w:tcPr>
          <w:p>
            <w:r/>
            <w:r>
              <w:rPr>
                <w:b/>
                <w:sz w:val="19"/>
              </w:rPr>
              <w:t>最优分组数</w:t>
            </w:r>
          </w:p>
        </w:tc>
        <w:tc>
          <w:tcPr>
            <w:tcW w:type="dxa" w:w="1930"/>
          </w:tcPr>
          <w:p>
            <w:r/>
            <w:r>
              <w:rPr>
                <w:b/>
                <w:sz w:val="19"/>
              </w:rPr>
              <w:t>6 组（本文）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20-0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4组 100.00%；5组 100.00%；6组 99.85%；7组 100.00%；8组 99.69%；9组 100.00%；10组 99.85%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4 组（100.00%）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99.85%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30-2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4组 100.00%；5组 100.00%；6组 100.00%；7组 99.69%；8组 99.85%；9组 99.85%；10组 99.85%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4 组（100.00%）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100.00%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20-0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4组 99.54%；5组 99.23%；6组 99.69%；7组 99.23%；8组 99.08%；9组 97.69%；10组 98.46%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6 组（99.69%）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99.69%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30-2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4组 97.69%；5组 97.08%；6组 98.31%；7组 96.62%；8组 97.85%；9组 96.46%；10组 96.77%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6 组（98.31%）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98.31%</w:t>
            </w:r>
          </w:p>
        </w:tc>
      </w:tr>
    </w:tbl>
    <w:p>
      <w:pPr>
        <w:spacing w:after="80"/>
      </w:pPr>
      <w:r>
        <w:rPr>
          <w:i w:val="0"/>
          <w:sz w:val="21"/>
        </w:rPr>
        <w:t>结论：6 组在齿轮箱两种工况下均为最优（20 Hz-0 V：99.69%，30 Hz-2 V：98.31%），在轴承上与最优值差距不超过 0.15 个百分点；分组过少时状态分辨率不足（齿轮箱 4 组低于 6 组），分组过多（9 组）时单窗内转移统计变得稀疏，精度明显回落（齿轮箱降至 97.7% / 96.5%，为全程最低）。因此取 6 组是「幅值分辨率与统计稳定性」的折中，且恰好是实验最优点，而非任意指定；轴承任务对分组数不敏感（全程 99.7%~100%），进一步说明结论稳健。</w:t>
      </w:r>
    </w:p>
    <w:p>
      <w:pPr>
        <w:spacing w:before="280" w:after="100"/>
      </w:pPr>
      <w:r>
        <w:rPr>
          <w:rFonts w:ascii="黑体" w:hAnsi="黑体" w:eastAsia="黑体"/>
          <w:b/>
          <w:color w:val="1F3B63"/>
          <w:sz w:val="27"/>
        </w:rPr>
        <w:t>五、两种工况合并的 t-SNE 特征分布（对应要求 5）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1889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ne_cross_gea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18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11  齿轮箱：两工况样本的 t-SNE（左：状态转移表示层；右：CNN 高层特征）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1889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ne_cross_beari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18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12  轴承：两工况样本的 t-SNE（左：状态转移表示层；右：CNN 高层特征）</w:t>
      </w:r>
    </w:p>
    <w:p>
      <w:pPr>
        <w:spacing w:after="80"/>
      </w:pPr>
      <w:r>
        <w:rPr>
          <w:i w:val="0"/>
          <w:sz w:val="21"/>
        </w:rPr>
        <w:t>说明：圆圈 = 20 Hz-0 V，三角 = 30 Hz-2 V，颜色 = 故障类别。左图中两工况样本存在明显重叠，说明原始状态转移表示尚不能完全区分工况；右图经 CNN 提取高层特征后，同一故障类在不同工况下各自聚成更紧密的子簇、不同故障类之间分离度显著提高。</w:t>
      </w:r>
    </w:p>
    <w:p>
      <w:pPr>
        <w:spacing w:before="280" w:after="100"/>
      </w:pPr>
      <w:r>
        <w:rPr>
          <w:rFonts w:ascii="黑体" w:hAnsi="黑体" w:eastAsia="黑体"/>
          <w:b/>
          <w:color w:val="1F3B63"/>
          <w:sz w:val="27"/>
        </w:rPr>
        <w:t>六、加入噪声后的结果（对应要求 6）</w:t>
      </w:r>
    </w:p>
    <w:p>
      <w:pPr>
        <w:spacing w:before="160" w:after="60"/>
      </w:pPr>
      <w:r>
        <w:rPr>
          <w:b/>
          <w:color w:val="2A4E7E"/>
          <w:sz w:val="23"/>
        </w:rPr>
        <w:t>6.1  噪声注入校准验证（回应「验证噪声加了多少、加对了没有」）</w:t>
      </w:r>
    </w:p>
    <w:p>
      <w:pPr>
        <w:spacing w:after="80"/>
      </w:pPr>
      <w:r>
        <w:rPr>
          <w:i w:val="0"/>
          <w:sz w:val="21"/>
        </w:rPr>
        <w:t>做法：对真实信号按目标信噪比注入高斯白噪声后，再用「信号功率 / 噪声功率」实测一次信噪比，逐档核对注入是否准确：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b/>
                <w:sz w:val="19"/>
              </w:rPr>
              <w:t>目标 SNR</w:t>
            </w:r>
          </w:p>
        </w:tc>
        <w:tc>
          <w:tcPr>
            <w:tcW w:type="dxa" w:w="2412"/>
          </w:tcPr>
          <w:p>
            <w:r/>
            <w:r>
              <w:rPr>
                <w:b/>
                <w:sz w:val="19"/>
              </w:rPr>
              <w:t>实测 SNR</w:t>
            </w:r>
          </w:p>
        </w:tc>
        <w:tc>
          <w:tcPr>
            <w:tcW w:type="dxa" w:w="2412"/>
          </w:tcPr>
          <w:p>
            <w:r/>
            <w:r>
              <w:rPr>
                <w:b/>
                <w:sz w:val="19"/>
              </w:rPr>
              <w:t>信号功率</w:t>
            </w:r>
          </w:p>
        </w:tc>
        <w:tc>
          <w:tcPr>
            <w:tcW w:type="dxa" w:w="2412"/>
          </w:tcPr>
          <w:p>
            <w:r/>
            <w:r>
              <w:rPr>
                <w:b/>
                <w:sz w:val="19"/>
              </w:rPr>
              <w:t>噪声功率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40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40.12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0.1437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1.4e-05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30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30.12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0.1437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0.00014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20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20.12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0.1437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0.001398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15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15.12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0.1437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0.004422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10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10.12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0.1437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0.01398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6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6.12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0.1437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0.03513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2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2.12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0.1437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0.08824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0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0.12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0.1437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0.1398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-2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-1.88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0.1437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0.2216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-4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-3.88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0.1437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0.3513</w:t>
            </w:r>
          </w:p>
        </w:tc>
      </w:tr>
    </w:tbl>
    <w:p>
      <w:pPr>
        <w:spacing w:after="80"/>
      </w:pPr>
      <w:r>
        <w:rPr>
          <w:i w:val="0"/>
          <w:sz w:val="21"/>
        </w:rPr>
        <w:t>全部 10 档的实测与目标偏差不超过 0.12 dB（偏差来源于信号含少量直流分量，使「信号功率」略高于交流功率），注入校准正确。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6448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ise_snr_verif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13  噪声注入校准：同一信号在 40 / 10 / 0 / −4 dB 下的波形对照</w:t>
      </w:r>
    </w:p>
    <w:p>
      <w:pPr>
        <w:spacing w:before="160" w:after="60"/>
      </w:pPr>
      <w:r>
        <w:rPr>
          <w:b/>
          <w:color w:val="2A4E7E"/>
          <w:sz w:val="23"/>
        </w:rPr>
        <w:t>6.2  完整信噪比曲线（40 dB → −4 dB）</w:t>
      </w:r>
    </w:p>
    <w:p>
      <w:pPr>
        <w:spacing w:after="80"/>
      </w:pPr>
      <w:r>
        <w:rPr>
          <w:i w:val="0"/>
          <w:sz w:val="21"/>
        </w:rPr>
        <w:t>应导师意见，将加噪训练 / 加噪测试的信噪比范围从原来的 −4~10 dB 扩展为 40~−4 dB 的完整曲线——从近干净（40 dB）开始逐档加大噪声，避免直接从强噪声起步造成误读：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0410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ise_full_c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4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14  加噪训练 / 加噪测试：40 → −4 dB 完整信噪比曲线</w:t>
      </w:r>
    </w:p>
    <w:p>
      <w:pPr>
        <w:pStyle w:val="ListBullet"/>
        <w:spacing w:after="40"/>
      </w:pPr>
      <w:r>
        <w:rPr>
          <w:sz w:val="21"/>
        </w:rPr>
        <w:t>近干净区（40~20 dB）：四种配置全部为 100.0%~98.8%，与不加噪基线一致——方法对轻微噪声不敏感。</w:t>
      </w:r>
    </w:p>
    <w:p>
      <w:pPr>
        <w:pStyle w:val="ListBullet"/>
        <w:spacing w:after="40"/>
      </w:pPr>
      <w:r>
        <w:rPr>
          <w:sz w:val="21"/>
        </w:rPr>
        <w:t>中等噪声（10 dB）：轴承 99.9%/100.0%，齿轮箱 98.5%/95.4%，仍保持很高精度。</w:t>
      </w:r>
    </w:p>
    <w:p>
      <w:pPr>
        <w:pStyle w:val="ListBullet"/>
        <w:spacing w:after="40"/>
      </w:pPr>
      <w:r>
        <w:rPr>
          <w:sz w:val="21"/>
        </w:rPr>
        <w:t>强噪声（−4 dB）：轴承 95.7%/93.7%，齿轮箱 64.6%/49.5%。轴承的抗噪明显优于齿轮箱：轴承故障是周期性冲击、幅值远高于背景，强噪声下部分冲击仍能存活；齿轮故障特征（调制、微小剥落）弥散于整个时程，更依赖精细的幅值分布结构，噪声破坏分布后首当其冲。</w:t>
      </w:r>
    </w:p>
    <w:p>
      <w:pPr>
        <w:spacing w:before="160" w:after="60"/>
      </w:pPr>
      <w:r>
        <w:rPr>
          <w:b/>
          <w:color w:val="2A4E7E"/>
          <w:sz w:val="23"/>
        </w:rPr>
        <w:t>6.3  零样本对照（干净训练 / 加噪测试）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3335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ise_cn_trainclea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33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15  干净训练 / 加噪测试：零样本抗噪能力（对照）</w:t>
      </w:r>
    </w:p>
    <w:p>
      <w:pPr>
        <w:spacing w:after="80"/>
      </w:pPr>
      <w:r>
        <w:rPr>
          <w:i w:val="0"/>
          <w:sz w:val="21"/>
        </w:rPr>
        <w:t>训练阶段完全没见过噪声时，−4 dB 下轴承仅 29.8%~58.0%、齿轮箱 25.7%~29.7%。与图 14 对比可知：掉点的主因不是方法本身，而是训练分布未覆盖噪声——同样 −4 dB，训练时加入噪声增广后轴承可恢复到 90% 以上。因此本文方法在训练阶段正式加入噪声增广环节（图 7 第 7 步）。</w:t>
      </w:r>
    </w:p>
    <w:p>
      <w:pPr>
        <w:spacing w:before="280" w:after="100"/>
      </w:pPr>
      <w:r>
        <w:rPr>
          <w:rFonts w:ascii="黑体" w:hAnsi="黑体" w:eastAsia="黑体"/>
          <w:b/>
          <w:color w:val="1F3B63"/>
          <w:sz w:val="27"/>
        </w:rPr>
        <w:t>七、不同工况的状态转移矩阵（对应要求 7）</w:t>
      </w:r>
    </w:p>
    <w:p>
      <w:pPr>
        <w:spacing w:after="80"/>
      </w:pPr>
      <w:r>
        <w:rPr>
          <w:i w:val="0"/>
          <w:sz w:val="21"/>
        </w:rPr>
        <w:t>按导师意见重绘：x/y/z 三个振动通道分轴展示（不再三轴平均后掩盖差异），并给全部子图加颜色条，颜色含义见图右侧标注。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59856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d_matrices_gea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598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16  齿轮箱：两工况下各类的一步状态转移概率矩阵（x/y/z 分轴 + 差值 + 颜色条）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59856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d_matrices_bearin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598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17  轴承：两工况下各类的一步状态转移概率矩阵（x/y/z 分轴 + 差值 + 颜色条）</w:t>
      </w:r>
    </w:p>
    <w:p>
      <w:pPr>
        <w:spacing w:after="80"/>
      </w:pPr>
      <w:r>
        <w:rPr>
          <w:i w:val="0"/>
          <w:sz w:val="21"/>
        </w:rPr>
        <w:t>可读出的规律：</w:t>
      </w:r>
    </w:p>
    <w:p>
      <w:pPr>
        <w:pStyle w:val="ListBullet"/>
        <w:spacing w:after="40"/>
      </w:pPr>
      <w:r>
        <w:rPr>
          <w:sz w:val="21"/>
        </w:rPr>
        <w:t>各故障类都存在「状态维持」（对角线）概率显著偏高的现象——振动信号在相邻采样点上状态变化缓慢，符合物理直觉。</w:t>
      </w:r>
    </w:p>
    <w:p>
      <w:pPr>
        <w:pStyle w:val="ListBullet"/>
        <w:spacing w:after="40"/>
      </w:pPr>
      <w:r>
        <w:rPr>
          <w:sz w:val="21"/>
        </w:rPr>
        <w:t>工况差异并非均匀分布。分轴计算的两工况总变差距离（TVD）显示：齿轮箱中 Chipped（齿面剥落）类差异最大（x 轴 TVD=0.139），Miss / Root 类最小（约 0.02）；轴承中 outer（外圈故障）类差异最大（x 轴 TVD=0.263），health 正常类最小（约 0.04）——不同故障机理对转速-负载变化的敏感度不同。</w:t>
      </w:r>
    </w:p>
    <w:p>
      <w:pPr>
        <w:pStyle w:val="ListBullet"/>
        <w:spacing w:after="40"/>
      </w:pPr>
      <w:r>
        <w:rPr>
          <w:sz w:val="21"/>
        </w:rPr>
        <w:t>差值矩阵（底行，蓝=20-0 更高、红=30-2 更高）中的成对红蓝块反映了概率质量在状态对之间的重新分配，即工况改变了状态转移的路径结构，而不只是整体缩放。</w:t>
      </w:r>
    </w:p>
    <w:p>
      <w:pPr>
        <w:spacing w:before="280" w:after="100"/>
      </w:pPr>
      <w:r>
        <w:rPr>
          <w:rFonts w:ascii="黑体" w:hAnsi="黑体" w:eastAsia="黑体"/>
          <w:b/>
          <w:color w:val="1F3B63"/>
          <w:sz w:val="27"/>
        </w:rPr>
        <w:t>八、图片来源与引用说明</w:t>
      </w:r>
    </w:p>
    <w:p>
      <w:pPr>
        <w:spacing w:after="80"/>
      </w:pPr>
      <w:r>
        <w:rPr>
          <w:i w:val="0"/>
          <w:sz w:val="21"/>
        </w:rPr>
        <w:t>本文件中图 1、图 2、图 3 为东南大学数据集官方发布的台架实物图、结构框图与故障类型描述表；其余各图均为本项目实验与绘图产出。故障形态采用自绘示意图（图 6）；公开数据集中同类型故障的实物照片（备用，正文未使用）存放于项目目录 doc/figures/seu/teacher/fault_photos/，如导师认为需要可随时补回，来源如下。</w:t>
      </w:r>
    </w:p>
    <w:p>
      <w:pPr>
        <w:pStyle w:val="ListBullet"/>
        <w:spacing w:after="40"/>
      </w:pPr>
      <w:r>
        <w:rPr>
          <w:sz w:val="21"/>
        </w:rPr>
        <w:t>数据集引用：Shao S, McAleer S, Yan R, Baldi P. Highly Accurate Machine Fault Diagnosis Using Deep Transfer Learning[J]. IEEE Transactions on Industrial Informatics, 2019, 15(4): 2446-2455.</w:t>
      </w:r>
    </w:p>
    <w:p>
      <w:pPr>
        <w:pStyle w:val="ListBullet"/>
        <w:spacing w:after="40"/>
      </w:pPr>
      <w:r>
        <w:rPr>
          <w:sz w:val="21"/>
        </w:rPr>
        <w:t>数据集获取：https://github.com/cathysiyu/Mechanical-datasets（gearbox 子目录）。</w:t>
      </w:r>
    </w:p>
    <w:p>
      <w:pPr>
        <w:pStyle w:val="ListBullet"/>
        <w:spacing w:after="40"/>
      </w:pPr>
      <w:r>
        <w:rPr>
          <w:sz w:val="21"/>
        </w:rPr>
        <w:t>备用实物照片（未在正文使用）：齿轮故障——Machines, 2025, 13(10), 893；Materials, 2023, 16(11), 4095 (doi:10.3390/ma16114095)；轴承故障——Nguyen D T, Hoang H S. HUST bearing: a practical dataset for ball bearing fault diagnosis[J]. BMC Research Notes, 2023, 16(1): 138 (doi:10.1186/s13104-023-06400-4)。均为开放获取（CC BY 4.0）。</w:t>
      </w:r>
    </w:p>
    <w:p>
      <w:pPr>
        <w:spacing w:before="280" w:after="100"/>
      </w:pPr>
      <w:r>
        <w:rPr>
          <w:rFonts w:ascii="黑体" w:hAnsi="黑体" w:eastAsia="黑体"/>
          <w:b/>
          <w:color w:val="1F3B63"/>
          <w:sz w:val="27"/>
        </w:rPr>
        <w:t>九、遗留事项</w:t>
      </w:r>
    </w:p>
    <w:p>
      <w:pPr>
        <w:pStyle w:val="ListBullet"/>
        <w:spacing w:after="40"/>
      </w:pPr>
      <w:r>
        <w:rPr>
          <w:sz w:val="21"/>
        </w:rPr>
        <w:t>SCI 投稿规划：导师指出 SEU 为公开数据集、各方法精度已接近饱和，SCI 需在自建台架数据上补充对比实验；待实验室传感器找回后（导师开学后协助寻找）即可开展。</w:t>
      </w:r>
    </w:p>
    <w:p>
      <w:pPr>
        <w:pStyle w:val="ListBullet"/>
        <w:spacing w:after="40"/>
      </w:pPr>
      <w:r>
        <w:rPr>
          <w:sz w:val="21"/>
        </w:rPr>
        <w:t>本文所有结论仅使用验证集调参、测试集保持封闭；新增消融实验（第四节）与完整噪声曲线（第六节）均为 CNN、seed 42、单一划分下的结果，如需多随机种子平均可在终稿前补充。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