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60"/>
        <w:jc w:val="center"/>
      </w:pPr>
      <w:r>
        <w:rPr>
          <w:rFonts w:ascii="微软雅黑" w:eastAsia="微软雅黑" w:hAnsi="微软雅黑" w:cs="微软雅黑" w:hint="eastAsia"/>
          <w:b/>
          <w:color w:val="1565C0"/>
          <w:sz w:val="28"/>
          <w:lang w:eastAsia="zh-CN"/>
        </w:rPr>
        <w:t>实验成果汇报</w:t>
      </w:r>
    </w:p>
    <w:p>
      <w:pPr>
        <w:pStyle w:val="Heading1"/>
        <w:spacing w:line="336" w:lineRule="auto" w:before="0" w:after="528"/>
        <w:jc w:val="center"/>
      </w:pPr>
      <w:r>
        <w:rPr>
          <w:rFonts w:ascii="微软雅黑" w:hAnsi="微软雅黑" w:eastAsia="微软雅黑" w:cs="微软雅黑" w:hint="eastAsia"/>
          <w:b w:val="0"/>
          <w:color w:val="1A237E"/>
          <w:sz w:val="44"/>
          <w:lang w:eastAsia="zh-CN"/>
        </w:rPr>
        <w:t>旋转机械故障诊断方法研究</w:t>
        <w:br/>
      </w:r>
      <w:r>
        <w:rPr>
          <w:rFonts w:ascii="微软雅黑" w:hAnsi="微软雅黑" w:eastAsia="微软雅黑" w:cs="微软雅黑" w:hint="eastAsia"/>
          <w:b w:val="0"/>
          <w:color w:val="1A237E"/>
          <w:sz w:val="44"/>
          <w:lang w:eastAsia="zh-CN"/>
        </w:rPr>
        <w:t>与实验结果汇报</w:t>
      </w:r>
    </w:p>
    <w:p>
      <w:pPr>
        <w:spacing w:before="0" w:after="780"/>
        <w:jc w:val="center"/>
      </w:pPr>
      <w:r>
        <w:rPr>
          <w:rFonts w:ascii="微软雅黑" w:eastAsia="微软雅黑" w:hAnsi="微软雅黑" w:cs="微软雅黑" w:hint="eastAsia"/>
          <w:color w:val="616161"/>
          <w:sz w:val="26"/>
          <w:lang w:eastAsia="zh-CN"/>
        </w:rPr>
        <w:t>基于状态转移网络的轴承与齿轮故障识别</w:t>
      </w:r>
    </w:p>
    <w:p>
      <w:pPr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东南大学</w:t>
      </w:r>
      <w:r>
        <w:rPr>
          <w:color w:val="616161"/>
          <w:sz w:val="18"/>
        </w:rPr>
        <w:t xml:space="preserve"> DDS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数据集</w:t>
      </w:r>
      <w:r>
        <w:rPr>
          <w:color w:val="616161"/>
          <w:sz w:val="18"/>
        </w:rPr>
        <w:t xml:space="preserve"> · 2026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年</w:t>
      </w:r>
      <w:r>
        <w:rPr>
          <w:color w:val="616161"/>
          <w:sz w:val="18"/>
        </w:rPr>
        <w:t xml:space="preserve"> 9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月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before="0" w:after="110"/>
      </w:pPr>
      <w:r/>
      <w:r>
        <w:rPr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一、研究概述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二、研究方法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三、实验设置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四、实验结果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五、结论</w:t>
        </w:r>
      </w:hyperlink>
    </w:p>
    <w:p>
      <w:bookmarkStart w:id="5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一、研究概述</w:t>
      </w:r>
      <w:bookmarkEnd w:id="5"/>
    </w:p>
    <w:p>
      <w:pPr/>
      <w:r>
        <w:rPr>
          <w:rFonts w:ascii="微软雅黑" w:eastAsia="微软雅黑" w:hAnsi="微软雅黑" w:cs="微软雅黑" w:hint="eastAsia"/>
          <w:lang w:eastAsia="zh-CN"/>
        </w:rPr>
        <w:t>本阶段围绕东南大学</w:t>
      </w:r>
      <w:r>
        <w:t xml:space="preserve"> Drivetrain Dynamic Simulator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DDS</w:t>
      </w:r>
      <w:r>
        <w:rPr>
          <w:rFonts w:ascii="微软雅黑" w:eastAsia="微软雅黑" w:hAnsi="微软雅黑" w:cs="微软雅黑" w:hint="eastAsia"/>
          <w:lang w:eastAsia="zh-CN"/>
        </w:rPr>
        <w:t>）旋转机械数据集，构建了一套基于状态转移网络（</w:t>
      </w:r>
      <w:r>
        <w:t>State Transition Network</w:t>
      </w:r>
      <w:r>
        <w:rPr>
          <w:rFonts w:ascii="微软雅黑" w:eastAsia="微软雅黑" w:hAnsi="微软雅黑" w:cs="微软雅黑" w:hint="eastAsia"/>
          <w:lang w:eastAsia="zh-CN"/>
        </w:rPr>
        <w:t>）的故障诊断方法，实现了轴承与齿轮两类旋转部件在多种工况下的高精度故障识别。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核心成果：所提方法在轴承、齿轮共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组「任务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工况」组合上的测试准确率全部达到</w:t>
      </w:r>
      <w:r>
        <w:t xml:space="preserve"> </w:t>
      </w:r>
      <w:r>
        <w:rPr>
          <w:rFonts w:ascii="微软雅黑" w:eastAsia="微软雅黑" w:hAnsi="微软雅黑" w:cs="微软雅黑" w:hint="eastAsia"/>
          <w:b w:val="0"/>
          <w:color w:val="C62828"/>
          <w:lang w:eastAsia="zh-CN"/>
        </w:rPr>
        <w:t>95% 以上</w:t>
      </w:r>
      <w:r>
        <w:rPr>
          <w:rFonts w:ascii="微软雅黑" w:eastAsia="微软雅黑" w:hAnsi="微软雅黑" w:cs="微软雅黑" w:hint="eastAsia"/>
          <w:lang w:eastAsia="zh-CN"/>
        </w:rPr>
        <w:t xml:space="preserve">，其中轴承任务接近满分。与改进前相比，平均准确率提升超过 </w:t>
      </w:r>
      <w:r>
        <w:rPr>
          <w:rFonts w:ascii="微软雅黑" w:eastAsia="微软雅黑" w:hAnsi="微软雅黑" w:cs="微软雅黑" w:hint="eastAsia"/>
          <w:b w:val="0"/>
          <w:color w:val="C62828"/>
          <w:lang w:eastAsia="zh-CN"/>
        </w:rPr>
        <w:t>10 个百分点</w:t>
      </w:r>
      <w:r>
        <w:rPr>
          <w:rFonts w:ascii="微软雅黑" w:eastAsia="微软雅黑" w:hAnsi="微软雅黑" w:cs="微软雅黑" w:hint="eastAsia"/>
          <w:lang w:eastAsia="zh-CN"/>
        </w:rPr>
        <w:t>，短板工况（齿轮</w:t>
      </w:r>
      <w:r>
        <w:t xml:space="preserve"> 30-2</w:t>
      </w:r>
      <w:r>
        <w:rPr>
          <w:rFonts w:ascii="微软雅黑" w:eastAsia="微软雅黑" w:hAnsi="微软雅黑" w:cs="微软雅黑" w:hint="eastAsia"/>
          <w:lang w:eastAsia="zh-CN"/>
        </w:rPr>
        <w:t>）从</w:t>
      </w:r>
      <w:r>
        <w:t xml:space="preserve"> 0.8582 </w:t>
      </w:r>
      <w:r>
        <w:rPr>
          <w:rFonts w:ascii="微软雅黑" w:eastAsia="微软雅黑" w:hAnsi="微软雅黑" w:cs="微软雅黑" w:hint="eastAsia"/>
          <w:lang w:eastAsia="zh-CN"/>
        </w:rPr>
        <w:t>提升至</w:t>
      </w:r>
      <w:r>
        <w:t xml:space="preserve"> 0.9815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6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二、研究方法</w:t>
      </w:r>
      <w:bookmarkEnd w:id="6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（一）总体框架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本方法采用「幅值符号化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多时间步有向加权转移矩阵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深度网络分类」三阶段流程：</w:t>
      </w:r>
    </w:p>
    <w:p>
      <w:pPr/>
      <w:r>
        <w:t xml:space="preserve">1. </w:t>
      </w:r>
      <w:r>
        <w:rPr>
          <w:rFonts w:ascii="微软雅黑" w:eastAsia="微软雅黑" w:hAnsi="微软雅黑" w:cs="微软雅黑" w:hint="eastAsia"/>
          <w:lang w:eastAsia="zh-CN"/>
        </w:rPr>
        <w:t>幅值符号化：将各通道振动信号逐窗映射为离散符号序列；</w:t>
      </w:r>
    </w:p>
    <w:p>
      <w:pPr/>
      <w:r>
        <w:t xml:space="preserve">2. </w:t>
      </w:r>
      <w:r>
        <w:rPr>
          <w:rFonts w:ascii="微软雅黑" w:eastAsia="微软雅黑" w:hAnsi="微软雅黑" w:cs="微软雅黑" w:hint="eastAsia"/>
          <w:lang w:eastAsia="zh-CN"/>
        </w:rPr>
        <w:t>状态转移矩阵：对符号序列在多个时间步长上统计状态转移关系，构建有向加权转移矩阵，作为故障特征表示；</w:t>
      </w:r>
    </w:p>
    <w:p>
      <w:pPr/>
      <w:r>
        <w:t xml:space="preserve">3. </w:t>
      </w:r>
      <w:r>
        <w:rPr>
          <w:rFonts w:ascii="微软雅黑" w:eastAsia="微软雅黑" w:hAnsi="微软雅黑" w:cs="微软雅黑" w:hint="eastAsia"/>
          <w:lang w:eastAsia="zh-CN"/>
        </w:rPr>
        <w:t>深度分类：将转移矩阵输入</w:t>
      </w:r>
      <w:r>
        <w:t xml:space="preserve"> CNN 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 xml:space="preserve"> GCN </w:t>
      </w:r>
      <w:r>
        <w:rPr>
          <w:rFonts w:ascii="微软雅黑" w:eastAsia="微软雅黑" w:hAnsi="微软雅黑" w:cs="微软雅黑" w:hint="eastAsia"/>
          <w:lang w:eastAsia="zh-CN"/>
        </w:rPr>
        <w:t>网络，完成五类故障的</w:t>
      </w:r>
      <w:r>
        <w:t xml:space="preserve"> Softmax </w:t>
      </w:r>
      <w:r>
        <w:rPr>
          <w:rFonts w:ascii="微软雅黑" w:eastAsia="微软雅黑" w:hAnsi="微软雅黑" w:cs="微软雅黑" w:hint="eastAsia"/>
          <w:lang w:eastAsia="zh-CN"/>
        </w:rPr>
        <w:t>分类。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（二）关键改进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针对符号化表示在幅值差异大、故障特征相近场景下的失效问题，本方法做了四项针对性改进：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改进项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改进前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改进后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归一化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无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逐窗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z-score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消除类间幅值尺度差异，避免符号状态塌缩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符号化边界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等宽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等频（分位数）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保证各符号桶样本量均衡，状态空间充分利用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转移步长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[1, 2, 3]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[1, …, 7]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多时间尺度捕捉细粒度时序纹理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窗口采样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 xml:space="preserve">800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点不重叠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 xml:space="preserve">1600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点、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50%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重叠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提升长时程分辨率，改善细粒度故障可分性</w:t>
            </w:r>
          </w:p>
        </w:tc>
      </w:tr>
    </w:tbl>
    <w:p>
      <w:bookmarkStart w:id="7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三、实验设置</w:t>
      </w:r>
      <w:bookmarkEnd w:id="7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（一）数据集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采用东南大学</w:t>
      </w:r>
      <w:r>
        <w:t xml:space="preserve"> DDS </w:t>
      </w:r>
      <w:r>
        <w:rPr>
          <w:rFonts w:ascii="微软雅黑" w:eastAsia="微软雅黑" w:hAnsi="微软雅黑" w:cs="微软雅黑" w:hint="eastAsia"/>
          <w:lang w:eastAsia="zh-CN"/>
        </w:rPr>
        <w:t>公开数据集，包含行星齿轮箱振动信号：</w:t>
      </w:r>
    </w:p>
    <w:p>
      <w:pPr/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轴承五类健康状态：健康、滚动体故障、内圈故障、外圈故障、复合故障；</w:t>
      </w:r>
    </w:p>
    <w:p>
      <w:pPr/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齿轮五类健康状态：健康、缺齿、齿根裂纹、齿面磨损、崩齿；</w:t>
      </w:r>
    </w:p>
    <w:p>
      <w:pPr/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两种工况：</w:t>
      </w:r>
      <w:r>
        <w:t>20 Hz–0 V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30 Hz–2 V</w:t>
      </w:r>
      <w:r>
        <w:rPr>
          <w:rFonts w:ascii="微软雅黑" w:eastAsia="微软雅黑" w:hAnsi="微软雅黑" w:cs="微软雅黑" w:hint="eastAsia"/>
          <w:lang w:eastAsia="zh-CN"/>
        </w:rPr>
        <w:t>（记为</w:t>
      </w:r>
      <w:r>
        <w:t xml:space="preserve"> 20-0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30-2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/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信号采样率</w:t>
      </w:r>
      <w:r>
        <w:t xml:space="preserve"> 5120 Hz</w:t>
      </w:r>
      <w:r>
        <w:rPr>
          <w:rFonts w:ascii="微软雅黑" w:eastAsia="微软雅黑" w:hAnsi="微软雅黑" w:cs="微软雅黑" w:hint="eastAsia"/>
          <w:lang w:eastAsia="zh-CN"/>
        </w:rPr>
        <w:t>，取行星齿轮箱</w:t>
      </w:r>
      <w:r>
        <w:t xml:space="preserve"> x/y/z </w:t>
      </w:r>
      <w:r>
        <w:rPr>
          <w:rFonts w:ascii="微软雅黑" w:eastAsia="微软雅黑" w:hAnsi="微软雅黑" w:cs="微软雅黑" w:hint="eastAsia"/>
          <w:lang w:eastAsia="zh-CN"/>
        </w:rPr>
        <w:t>三通道。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（二）划分与评价</w:t>
      </w:r>
    </w:p>
    <w:p>
      <w:pPr/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时间连续划分：按</w:t>
      </w:r>
      <w:r>
        <w:t xml:space="preserve"> 70% / 20% / 10% </w:t>
      </w:r>
      <w:r>
        <w:rPr>
          <w:rFonts w:ascii="微软雅黑" w:eastAsia="微软雅黑" w:hAnsi="微软雅黑" w:cs="微软雅黑" w:hint="eastAsia"/>
          <w:lang w:eastAsia="zh-CN"/>
        </w:rPr>
        <w:t>划分为训练集、验证集、测试集，模拟真实场景「以历史数据训练、预测未来状态」；</w:t>
      </w:r>
    </w:p>
    <w:p>
      <w:pPr/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评价指标：准确率（</w:t>
      </w:r>
      <w:r>
        <w:t>Accuracy</w:t>
      </w:r>
      <w:r>
        <w:rPr>
          <w:rFonts w:ascii="微软雅黑" w:eastAsia="微软雅黑" w:hAnsi="微软雅黑" w:cs="微软雅黑" w:hint="eastAsia"/>
          <w:lang w:eastAsia="zh-CN"/>
        </w:rPr>
        <w:t>）、宏平均</w:t>
      </w:r>
      <w:r>
        <w:t xml:space="preserve"> F1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Macro-F1</w:t>
      </w:r>
      <w:r>
        <w:rPr>
          <w:rFonts w:ascii="微软雅黑" w:eastAsia="微软雅黑" w:hAnsi="微软雅黑" w:cs="微软雅黑" w:hint="eastAsia"/>
          <w:lang w:eastAsia="zh-CN"/>
        </w:rPr>
        <w:t>）、均衡准确率（</w:t>
      </w:r>
      <w:r>
        <w:t>Balanced Accuracy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/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测试集在参数冻结后仅作一次性评估。</w:t>
      </w:r>
    </w:p>
    <w:p>
      <w:bookmarkStart w:id="8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四、实验结果</w:t>
      </w:r>
      <w:bookmarkEnd w:id="8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（一）最终结果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所提方法在全部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组「任务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工况」上的测试准确率如下：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工况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20-0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工况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30-2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0.9954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0.9815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0.9769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 xml:space="preserve">全部组合测试准确率均超过 </w:t>
      </w:r>
      <w:r>
        <w:rPr>
          <w:b w:val="0"/>
          <w:color w:val="C62828"/>
        </w:rPr>
        <w:t>95%</w:t>
      </w:r>
      <w:r>
        <w:rPr>
          <w:rFonts w:ascii="微软雅黑" w:eastAsia="微软雅黑" w:hAnsi="微软雅黑" w:cs="微软雅黑" w:hint="eastAsia"/>
          <w:lang w:eastAsia="zh-CN"/>
        </w:rPr>
        <w:t>，其中轴承任务在两种工况下均达到</w:t>
      </w:r>
      <w:r>
        <w:t xml:space="preserve"> 0.998 </w:t>
      </w:r>
      <w:r>
        <w:rPr>
          <w:rFonts w:ascii="微软雅黑" w:eastAsia="微软雅黑" w:hAnsi="微软雅黑" w:cs="微软雅黑" w:hint="eastAsia"/>
          <w:lang w:eastAsia="zh-CN"/>
        </w:rPr>
        <w:t>以上。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（二）改进前后对比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工况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20-0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（前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→ 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后）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工况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30-2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（前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→ 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后）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0.6857 → 0.9985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0.9776 → 1.0000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0.7296 → 0.9985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0.9898 → 1.0000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0.9194 → 0.9954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0.8582 → 0.9815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0.9184 → 0.9985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0.8194 → 0.9769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其中轴承</w:t>
      </w:r>
      <w:r>
        <w:t xml:space="preserve"> 20-0 </w:t>
      </w:r>
      <w:r>
        <w:rPr>
          <w:rFonts w:ascii="微软雅黑" w:eastAsia="微软雅黑" w:hAnsi="微软雅黑" w:cs="微软雅黑" w:hint="eastAsia"/>
          <w:lang w:eastAsia="zh-CN"/>
        </w:rPr>
        <w:t>工况改进最为显著（提升约</w:t>
      </w:r>
      <w:r>
        <w:t xml:space="preserve"> 0.31</w:t>
      </w:r>
      <w:r>
        <w:rPr>
          <w:rFonts w:ascii="微软雅黑" w:eastAsia="微软雅黑" w:hAnsi="微软雅黑" w:cs="微软雅黑" w:hint="eastAsia"/>
          <w:lang w:eastAsia="zh-CN"/>
        </w:rPr>
        <w:t>），主要得益于逐窗</w:t>
      </w:r>
      <w:r>
        <w:t xml:space="preserve"> z-score </w:t>
      </w:r>
      <w:r>
        <w:rPr>
          <w:rFonts w:ascii="微软雅黑" w:eastAsia="微软雅黑" w:hAnsi="微软雅黑" w:cs="微软雅黑" w:hint="eastAsia"/>
          <w:lang w:eastAsia="zh-CN"/>
        </w:rPr>
        <w:t>与等频分档解决了符号状态塌缩问题；齿轮</w:t>
      </w:r>
      <w:r>
        <w:t xml:space="preserve"> 30-2 </w:t>
      </w:r>
      <w:r>
        <w:rPr>
          <w:rFonts w:ascii="微软雅黑" w:eastAsia="微软雅黑" w:hAnsi="微软雅黑" w:cs="微软雅黑" w:hint="eastAsia"/>
          <w:lang w:eastAsia="zh-CN"/>
        </w:rPr>
        <w:t>工况提升约</w:t>
      </w:r>
      <w:r>
        <w:t xml:space="preserve"> 0.12</w:t>
      </w:r>
      <w:r>
        <w:rPr>
          <w:rFonts w:ascii="微软雅黑" w:eastAsia="微软雅黑" w:hAnsi="微软雅黑" w:cs="微软雅黑" w:hint="eastAsia"/>
          <w:lang w:eastAsia="zh-CN"/>
        </w:rPr>
        <w:t>，主要得益于长窗口与多时间步对缺齿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齿面磨损等细粒度故障的区分能力增强。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（三）5 折交叉验证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为进一步验证结果的时间稳定性，采用</w:t>
      </w:r>
      <w:r>
        <w:t xml:space="preserve"> rolling-origin 5 </w:t>
      </w:r>
      <w:r>
        <w:rPr>
          <w:rFonts w:ascii="微软雅黑" w:eastAsia="微软雅黑" w:hAnsi="微软雅黑" w:cs="微软雅黑" w:hint="eastAsia"/>
          <w:lang w:eastAsia="zh-CN"/>
        </w:rPr>
        <w:t>折时间序列交叉验证：每折训练集严格位于验证集与测试集之前（无数据泄漏），测试窗口随折次向前滑动，</w:t>
      </w: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折的测试集分别落在时间轴后半段的五个不同时段。交叉验证结果（测试准确率）如下：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工况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均值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标准差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最低折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20-0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0.0006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0.9969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30-2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0.9994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0.0007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20-0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0.9975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0.0025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0.9938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30-2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0.0031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0.9923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20-0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0.9877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0.0046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0.9800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30-2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0.9803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0.0066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0.9692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20-0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0.9914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0.0056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0.9846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30-2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0.9797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0.0051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0.9708</w:t>
            </w:r>
          </w:p>
        </w:tc>
      </w:tr>
    </w:tbl>
    <w:p>
      <w:pPr/>
      <w:r>
        <w:t xml:space="preserve">8 </w:t>
      </w:r>
      <w:r>
        <w:rPr>
          <w:rFonts w:ascii="微软雅黑" w:eastAsia="微软雅黑" w:hAnsi="微软雅黑" w:cs="微软雅黑" w:hint="eastAsia"/>
          <w:lang w:eastAsia="zh-CN"/>
        </w:rPr>
        <w:t>组组合的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折均值全部超过</w:t>
      </w:r>
      <w:r>
        <w:t xml:space="preserve"> </w:t>
      </w:r>
      <w:r>
        <w:rPr>
          <w:b w:val="0"/>
          <w:color w:val="C62828"/>
        </w:rPr>
        <w:t>95%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40 </w:t>
      </w:r>
      <w:r>
        <w:rPr>
          <w:rFonts w:ascii="微软雅黑" w:eastAsia="微软雅黑" w:hAnsi="微软雅黑" w:cs="微软雅黑" w:hint="eastAsia"/>
          <w:lang w:eastAsia="zh-CN"/>
        </w:rPr>
        <w:t>个测试折无一低于</w:t>
      </w:r>
      <w:r>
        <w:t xml:space="preserve"> 95%</w:t>
      </w:r>
      <w:r>
        <w:rPr>
          <w:rFonts w:ascii="微软雅黑" w:eastAsia="微软雅黑" w:hAnsi="微软雅黑" w:cs="微软雅黑" w:hint="eastAsia"/>
          <w:lang w:eastAsia="zh-CN"/>
        </w:rPr>
        <w:t>，标准差均不超过</w:t>
      </w:r>
      <w:r>
        <w:t xml:space="preserve"> 0.0066</w:t>
      </w:r>
      <w:r>
        <w:rPr>
          <w:rFonts w:ascii="微软雅黑" w:eastAsia="微软雅黑" w:hAnsi="微软雅黑" w:cs="微软雅黑" w:hint="eastAsia"/>
          <w:lang w:eastAsia="zh-CN"/>
        </w:rPr>
        <w:t>，说明方法性能跨时间段稳定，不存在对某一特定测试段的过拟合。</w:t>
      </w:r>
    </w:p>
    <w:p>
      <w:bookmarkStart w:id="9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五、结论</w:t>
      </w:r>
      <w:bookmarkEnd w:id="9"/>
    </w:p>
    <w:p>
      <w:pPr/>
      <w:r>
        <w:rPr>
          <w:rFonts w:ascii="微软雅黑" w:eastAsia="微软雅黑" w:hAnsi="微软雅黑" w:cs="微软雅黑" w:hint="eastAsia"/>
          <w:lang w:eastAsia="zh-CN"/>
        </w:rPr>
        <w:t>本阶段完成了一套基于状态转移网络的旋转机械故障诊断方法，通过归一化、等频符号化、多时间步转移与长窗口采样四项改进，使轴承、齿轮两类部件在多种工况下的故障识别准确率全部达到</w:t>
      </w:r>
      <w:r>
        <w:t xml:space="preserve"> 95% </w:t>
      </w:r>
      <w:r>
        <w:rPr>
          <w:rFonts w:ascii="微软雅黑" w:eastAsia="微软雅黑" w:hAnsi="微软雅黑" w:cs="微软雅黑" w:hint="eastAsia"/>
          <w:lang w:eastAsia="zh-CN"/>
        </w:rPr>
        <w:t>以上。方法在幅值差异大、故障特征相近等困难场景下表现出良好的鲁棒性，为后续进一步扩展至更多部件类型与工况提供了基础。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outlineLvl w:val="0"/>
    </w:pPr>
    <w:rPr>
      <w:rFonts w:ascii="微软雅黑" w:hAnsi="微软雅黑" w:eastAsia="微软雅黑"/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65" w:lineRule="auto"/>
      <w:outlineLvl w:val="1"/>
    </w:pPr>
    <w:rPr>
      <w:rFonts w:ascii="微软雅黑" w:hAnsi="微软雅黑" w:eastAsia="微软雅黑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65" w:lineRule="auto"/>
      <w:outlineLvl w:val="2"/>
    </w:pPr>
    <w:rPr>
      <w:rFonts w:ascii="微软雅黑" w:hAnsi="微软雅黑" w:eastAsia="微软雅黑"/>
      <w:b/>
      <w:bCs/>
      <w:color w:val="1A23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