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F270E">
      <w:pPr>
        <w:spacing w:after="80"/>
        <w:jc w:val="center"/>
      </w:pPr>
      <w:r>
        <w:rPr>
          <w:rFonts w:ascii="Times New Roman" w:hAnsi="Times New Roman" w:eastAsia="宋体"/>
          <w:b/>
          <w:sz w:val="36"/>
        </w:rPr>
        <w:t>多时间步状态转移网络与 CNN / GCN 故障分类</w:t>
      </w:r>
    </w:p>
    <w:p w14:paraId="04088E44">
      <w:pPr>
        <w:spacing w:after="360"/>
        <w:jc w:val="center"/>
      </w:pPr>
      <w:r>
        <w:rPr>
          <w:rFonts w:ascii="Times New Roman" w:hAnsi="Times New Roman" w:eastAsia="宋体"/>
          <w:b/>
          <w:sz w:val="28"/>
        </w:rPr>
        <w:t>东南大学 DDS 齿轮箱</w:t>
      </w:r>
    </w:p>
    <w:p w14:paraId="089B45E0">
      <w:pPr>
        <w:pStyle w:val="3"/>
      </w:pPr>
      <w:r>
        <w:rPr>
          <w:rFonts w:ascii="Times New Roman" w:hAnsi="Times New Roman" w:eastAsia="宋体"/>
          <w:b/>
          <w:sz w:val="32"/>
        </w:rPr>
        <w:t>1  思路</w:t>
      </w:r>
    </w:p>
    <w:p w14:paraId="1ACA36AF">
      <w:pPr>
        <w:spacing w:before="0" w:after="1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复杂网络方法把振动变成状态之间的转移，再用节点度、路径长度、方差一类指标去做分类。指标靠人来选，选漏了就没有补救；只记相邻一步转移，更长间隔上的动态进不了模型；论文里的网络图往往是示意，真正计算用的是矩阵。</w:t>
      </w:r>
    </w:p>
    <w:p w14:paraId="1C8D897D">
      <w:pPr>
        <w:spacing w:before="0" w:after="1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本工作把人工选指标换成模型自动提特征。振动按幅值离散成有序状态，状态之间的跳转做成有向加权矩阵；一步、两步、三步各一张，叠在一起，分别交给 CNN 和 GCN。CNN 把矩阵当多通道小图卷积，GCN 把状态当节点、把转移当边。两条骨干互斥。注意力只作为开关：CNN 是卷积前的空间自注意力，GCN 是边上的图注意力，二者不是同一模块。</w:t>
      </w:r>
    </w:p>
    <w:p w14:paraId="02243E45">
      <w:pPr>
        <w:spacing w:before="0" w:after="1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节点</w:t>
      </w:r>
      <w:r>
        <w:rPr>
          <w:rFonts w:hint="eastAsia"/>
          <w:b w:val="0"/>
          <w:sz w:val="24"/>
          <w:lang w:eastAsia="zh-CN"/>
        </w:rPr>
        <w:t>编号</w:t>
      </w:r>
      <w:r>
        <w:rPr>
          <w:rFonts w:ascii="Times New Roman" w:hAnsi="Times New Roman" w:eastAsia="宋体"/>
          <w:b w:val="0"/>
          <w:sz w:val="24"/>
        </w:rPr>
        <w:t>按幅值从低到高编号，分档边界只在该任务、该工况的训练集上确定</w:t>
      </w:r>
      <w:r>
        <w:rPr>
          <w:rFonts w:hint="eastAsia"/>
          <w:b w:val="0"/>
          <w:sz w:val="24"/>
          <w:lang w:eastAsia="zh-CN"/>
        </w:rPr>
        <w:t>（不具备跨工况识别能力，事实上数据集只有两个工况）</w:t>
      </w:r>
      <w:r>
        <w:rPr>
          <w:rFonts w:ascii="Times New Roman" w:hAnsi="Times New Roman" w:eastAsia="宋体"/>
          <w:b w:val="0"/>
          <w:sz w:val="24"/>
        </w:rPr>
        <w:t>，验证与测试沿用同一把尺子。这样不同窗里的同一编号表示同一段幅值，矩阵的行列才有固定含义。</w:t>
      </w:r>
    </w:p>
    <w:p w14:paraId="31F77083">
      <w:pPr>
        <w:spacing w:before="0" w:after="1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实验对象是东南大学 DDS 齿轮箱。轴承与齿轮各建一套五分类，两种工况分开训练，再对两个验证准确率取平均</w:t>
      </w:r>
      <w:r>
        <w:rPr>
          <w:rFonts w:hint="eastAsia"/>
          <w:b w:val="0"/>
          <w:sz w:val="24"/>
          <w:lang w:eastAsia="zh-CN"/>
        </w:rPr>
        <w:t>作为结果</w:t>
      </w:r>
      <w:r>
        <w:rPr>
          <w:rFonts w:ascii="Times New Roman" w:hAnsi="Times New Roman" w:eastAsia="宋体"/>
          <w:b w:val="0"/>
          <w:sz w:val="24"/>
        </w:rPr>
        <w:t>。振动只用行星齿轮箱三轴。测试集按时间切出，本阶段不评分，避免用测试去选结构或超参。</w:t>
      </w:r>
    </w:p>
    <w:p w14:paraId="4998555A">
      <w:pPr>
        <w:pStyle w:val="3"/>
      </w:pPr>
      <w:r>
        <w:rPr>
          <w:rFonts w:ascii="Times New Roman" w:hAnsi="Times New Roman" w:eastAsia="宋体"/>
          <w:b/>
          <w:sz w:val="32"/>
        </w:rPr>
        <w:t>2  方法</w:t>
      </w:r>
    </w:p>
    <w:p w14:paraId="3810EDA9">
      <w:pPr>
        <w:spacing w:before="0" w:after="1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轴承和齿轮各做一套五分类，标签不混用。工况 20-0 与 30-2 各自切分、各自确定幅值分档、各自训练，再对两个验证准确率取算术平均。振动先做成转移矩阵，CNN 与 GCN 读同一套矩阵</w:t>
      </w:r>
      <w:r>
        <w:rPr>
          <w:rFonts w:hint="eastAsia"/>
          <w:b w:val="0"/>
          <w:sz w:val="24"/>
          <w:lang w:eastAsia="zh-CN"/>
        </w:rPr>
        <w:t>（先处理为矩阵，再用于训练）</w:t>
      </w:r>
      <w:r>
        <w:rPr>
          <w:rFonts w:ascii="Times New Roman" w:hAnsi="Times New Roman" w:eastAsia="宋体"/>
          <w:b w:val="0"/>
          <w:sz w:val="24"/>
        </w:rPr>
        <w:t>，一次训练只走其中一种网络。</w:t>
      </w:r>
    </w:p>
    <w:p w14:paraId="39FE81A7">
      <w:pPr>
        <w:spacing w:before="0" w:after="1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处理链是：原始记录 → 行星齿轮箱三轴振动 → 按时间切开的训练、验证、测试段 → 不重叠窗 → 用训练集定幅值分档 → 符号序列 → 多时间步有向转移矩阵 → CNN 或 GCN → 五类。取值见第 3 节。</w:t>
      </w:r>
    </w:p>
    <w:p w14:paraId="4653ABCB">
      <w:pPr>
        <w:pStyle w:val="4"/>
      </w:pPr>
      <w:r>
        <w:rPr>
          <w:rFonts w:ascii="Times New Roman" w:hAnsi="Times New Roman" w:eastAsia="宋体"/>
          <w:b/>
          <w:sz w:val="26"/>
        </w:rPr>
        <w:t>2.1 原始记录变成三轴振动</w:t>
      </w:r>
    </w:p>
    <w:p w14:paraId="1F303652">
      <w:pPr>
        <w:spacing w:before="0" w:after="1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数据是</w:t>
      </w:r>
      <w:r>
        <w:rPr>
          <w:rFonts w:hint="eastAsia"/>
          <w:b w:val="0"/>
          <w:sz w:val="24"/>
          <w:lang w:eastAsia="zh-CN"/>
        </w:rPr>
        <w:t>国内论文常用的</w:t>
      </w:r>
      <w:r>
        <w:rPr>
          <w:rFonts w:ascii="Times New Roman" w:hAnsi="Times New Roman" w:eastAsia="宋体"/>
          <w:b w:val="0"/>
          <w:sz w:val="24"/>
        </w:rPr>
        <w:t>东南大学 DDS 齿轮箱。轴承五类：健康、滚动体、内圈、外圈、复合。齿轮五类：健康、缺齿、丢齿、齿根、表面。工况记为 20-0 和 30-2。</w:t>
      </w:r>
    </w:p>
    <w:p w14:paraId="7E4B8B10">
      <w:pPr>
        <w:spacing w:before="0" w:after="160" w:line="360" w:lineRule="auto"/>
        <w:ind w:firstLine="420"/>
      </w:pPr>
      <w:r>
        <w:rPr>
          <w:rFonts w:hint="eastAsia"/>
          <w:b w:val="0"/>
          <w:sz w:val="24"/>
          <w:lang w:eastAsia="zh-CN"/>
        </w:rPr>
        <w:t>数据集</w:t>
      </w:r>
      <w:r>
        <w:rPr>
          <w:rFonts w:ascii="Times New Roman" w:hAnsi="Times New Roman" w:eastAsia="宋体"/>
          <w:b w:val="0"/>
          <w:sz w:val="24"/>
        </w:rPr>
        <w:t>每条记录 1 048 560 个采样点。原始表 8 列，</w:t>
      </w:r>
      <w:r>
        <w:rPr>
          <w:rFonts w:hint="eastAsia"/>
          <w:b w:val="0"/>
          <w:sz w:val="24"/>
          <w:lang w:eastAsia="zh-CN"/>
        </w:rPr>
        <w:t>其中我们</w:t>
      </w:r>
      <w:r>
        <w:rPr>
          <w:rFonts w:ascii="Times New Roman" w:hAnsi="Times New Roman" w:eastAsia="宋体"/>
          <w:b w:val="0"/>
          <w:sz w:val="24"/>
        </w:rPr>
        <w:t>只用行星齿轮箱 x、y、z 三轴，变成长度 1 048 560 的三条振动。转矩和其他振动不用。不滤波，不按通道标准化</w:t>
      </w:r>
      <w:r>
        <w:rPr>
          <w:rFonts w:hint="eastAsia"/>
          <w:b w:val="0"/>
          <w:sz w:val="24"/>
          <w:lang w:eastAsia="zh-CN"/>
        </w:rPr>
        <w:t>，无任何预处理（这里是否值得改进）</w:t>
      </w:r>
      <w:r>
        <w:rPr>
          <w:rFonts w:ascii="Times New Roman" w:hAnsi="Times New Roman" w:eastAsia="宋体"/>
          <w:b w:val="0"/>
          <w:sz w:val="24"/>
        </w:rPr>
        <w:t>。标称采样率 5120 Hz，本阶段按点数切窗，不按秒。</w:t>
      </w:r>
    </w:p>
    <w:p w14:paraId="556C292A">
      <w:pPr>
        <w:pStyle w:val="4"/>
      </w:pPr>
      <w:r>
        <w:rPr>
          <w:rFonts w:ascii="Times New Roman" w:hAnsi="Times New Roman" w:eastAsia="宋体"/>
          <w:b/>
          <w:sz w:val="26"/>
        </w:rPr>
        <w:t>2.2 先按时间切开，再切成窗</w:t>
      </w:r>
    </w:p>
    <w:p w14:paraId="0C1BE453">
      <w:pPr>
        <w:spacing w:before="0" w:after="1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一条记录按时间切成前 70% 训练、接着 15% 验证、最后 15% 测试。三段相连，互不交叉</w:t>
      </w:r>
      <w:r>
        <w:rPr>
          <w:rFonts w:hint="eastAsia"/>
          <w:b w:val="0"/>
          <w:sz w:val="24"/>
          <w:lang w:eastAsia="zh-CN"/>
        </w:rPr>
        <w:t>，不重叠</w:t>
      </w:r>
      <w:r>
        <w:rPr>
          <w:rFonts w:ascii="Times New Roman" w:hAnsi="Times New Roman" w:eastAsia="宋体"/>
          <w:b w:val="0"/>
          <w:sz w:val="24"/>
        </w:rPr>
        <w:t>。切分按时间比例，不随机打乱，也不在窗之间交叉验证。</w:t>
      </w:r>
    </w:p>
    <w:p w14:paraId="73FC0DC4">
      <w:pPr>
        <w:spacing w:before="0" w:after="1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再在各段内切窗。窗长 800 点，步长 800 点，不重叠，窗不跨切点。每个窗是 3 轴 × 800 点。每个文件、每一类</w:t>
      </w:r>
      <w:r>
        <w:rPr>
          <w:rFonts w:hint="eastAsia"/>
          <w:b w:val="0"/>
          <w:sz w:val="24"/>
          <w:lang w:eastAsia="zh-CN"/>
        </w:rPr>
        <w:t>最终</w:t>
      </w:r>
      <w:r>
        <w:rPr>
          <w:rFonts w:ascii="Times New Roman" w:hAnsi="Times New Roman" w:eastAsia="宋体"/>
          <w:b w:val="0"/>
          <w:sz w:val="24"/>
        </w:rPr>
        <w:t>得到训练 917 窗、验证 196 窗、测试 196 窗。五类合计：训练 4585，验证 980，测试 980。测试窗已切出，本阶段不评分。</w:t>
      </w:r>
    </w:p>
    <w:p w14:paraId="29233D89">
      <w:pPr>
        <w:pStyle w:val="4"/>
      </w:pPr>
      <w:r>
        <w:rPr>
          <w:rFonts w:ascii="Times New Roman" w:hAnsi="Times New Roman" w:eastAsia="宋体"/>
          <w:b/>
          <w:sz w:val="26"/>
        </w:rPr>
        <w:t>2.3 窗变成符号序列</w:t>
      </w:r>
    </w:p>
    <w:p w14:paraId="3671B3AA">
      <w:pPr>
        <w:spacing w:before="0" w:after="1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每个通道把幅值等宽分成 6 档，得到 6 个有序状态。分档边界只用该任务、该工况的全部训练窗：按通道取最小、最大值，中间均分成 6 段。验证和测试不准重算边界。两个工况各自定边界，不共用。</w:t>
      </w:r>
    </w:p>
    <w:p w14:paraId="3FBA383E">
      <w:pPr>
        <w:spacing w:before="0" w:after="1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一个窗里，每个通道的 800 个点落入 0 到 5，变成一条长度 800 的整数序列。编号按幅值从低到高：0 是最低档，5 是最高档。矩阵第 i 行第 j 列始终表示从第 i 档转到第 j 档。</w:t>
      </w:r>
    </w:p>
    <w:p w14:paraId="1025127A">
      <w:pPr>
        <w:pStyle w:val="4"/>
      </w:pPr>
      <w:r>
        <w:rPr>
          <w:rFonts w:ascii="Times New Roman" w:hAnsi="Times New Roman" w:eastAsia="宋体"/>
          <w:b/>
          <w:sz w:val="26"/>
        </w:rPr>
        <w:t>2.4 符号序列变成转移矩阵</w:t>
      </w:r>
    </w:p>
    <w:p w14:paraId="53D8070A">
      <w:pPr>
        <w:spacing w:before="0" w:after="1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对一条符号序列，分别统计滞后 1、2、3 个点的有向转移，各得一张 6×6 矩阵。滞后 1 看相邻两点，滞后 2 看隔一个点，滞后 3 同理。格子先计次数，自己转到自己也计。再把整张矩阵的次数和除成 1，不是按行归一化。每个通道得到 3 张 6×6。</w:t>
      </w:r>
    </w:p>
    <w:p w14:paraId="66719550">
      <w:pPr>
        <w:spacing w:before="0" w:after="160" w:line="360" w:lineRule="auto"/>
        <w:ind w:firstLine="420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三轴的三张图叠在一起，一个窗变成 9×6×6。顺序是 x 的 1、2、3 步，再 y 的 1、2、3 步，再 z 的 1、2、3 步。CNN 和 GCN 用同一份矩阵，不各算一套。</w:t>
      </w:r>
      <w:r>
        <w:rPr>
          <w:rFonts w:hint="eastAsia"/>
          <w:b w:val="0"/>
          <w:sz w:val="24"/>
          <w:lang w:eastAsia="zh-CN"/>
        </w:rPr>
        <w:t>即数据处理为矩阵后，再参与到训练、验证和测试中。</w:t>
      </w:r>
    </w:p>
    <w:p w14:paraId="71C1C4A5">
      <w:pPr>
        <w:pStyle w:val="4"/>
      </w:pPr>
      <w:r>
        <w:rPr>
          <w:rFonts w:ascii="Times New Roman" w:hAnsi="Times New Roman" w:eastAsia="宋体"/>
          <w:b/>
          <w:sz w:val="26"/>
        </w:rPr>
        <w:t>2.5 矩阵变成类别</w:t>
      </w:r>
    </w:p>
    <w:p w14:paraId="5DC2F63A">
      <w:pPr>
        <w:spacing w:before="0" w:after="1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输入都是这份 9×6×6。一次只训 CNN 或只训 GCN。五类交叉熵：网络输出未归一化的类别分数，损失里做 Softmax。优化器 Adam。第一版学习率 5×10⁻⁴，权重衰减 10⁻⁴，dropout 0.2，批大小 32。验证准确率升高才保存参数；连续 30 轮不升则停；最多 200 轮。训练随机种子 42，只管初始化和训练打乱，不管时间切分。工况 20-0 训完存一份，30-2 另训另存。</w:t>
      </w:r>
    </w:p>
    <w:p w14:paraId="461530A0">
      <w:pPr>
        <w:spacing w:before="0" w:after="1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CNN：两层卷积，通道 32→64，核 3，池化 2，批归一化，ReLU。6×6 经过两次池化后空间收到约 1×1，再全局平均，接 Dropout 和线性层到 5 类。卷积后不再加隐层。CNN 的注意力若打开，是卷积之前的空间自注意力。第一版关闭。</w:t>
      </w:r>
    </w:p>
    <w:p w14:paraId="6A2B1826">
      <w:pPr>
        <w:spacing w:before="0" w:after="1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GCN：6 个幅值档是节点，6×6 是有向边权。9 张图拆成 3 个振动通道 × 3 个时间步，同一通道上三个步长作为三种关系一起传消息。两层，隐层 32。GCN 的注意力若打开，边权同时看两端节点特征和转移概率；关闭时按转移概率加权。第一版关闭。CNN 自注意力和 GCN 图注意力不是同一个模块。</w:t>
      </w:r>
    </w:p>
    <w:p w14:paraId="153B9E9D">
      <w:pPr>
        <w:pStyle w:val="4"/>
      </w:pPr>
      <w:r>
        <w:rPr>
          <w:rFonts w:ascii="Times New Roman" w:hAnsi="Times New Roman" w:eastAsia="宋体"/>
          <w:b/>
          <w:sz w:val="26"/>
        </w:rPr>
        <w:t>2.6 对照和扫参</w:t>
      </w:r>
    </w:p>
    <w:p w14:paraId="24C6DA2D">
      <w:pPr>
        <w:spacing w:before="0" w:after="1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四条线：CNN 无注意力、CNN 自注意力、GCN 无图注意力、GCN 图注意力。对照只改网络，不改已经做好的矩阵和切分。各线只扫学习率 {1×10⁻⁴, 5×10⁻⁴, 1×10⁻³} 和 dropout {0.1, 0.2, 0.3}。轴承、齿轮各四条线，每条线两个工况，共 144 组。选参看该任务两个工况验证准确率的平均。测试集全程不打开。</w:t>
      </w:r>
    </w:p>
    <w:p w14:paraId="4A822617">
      <w:pPr>
        <w:pStyle w:val="4"/>
      </w:pPr>
      <w:r>
        <w:rPr>
          <w:rFonts w:ascii="Times New Roman" w:hAnsi="Times New Roman" w:eastAsia="宋体"/>
          <w:b/>
          <w:sz w:val="26"/>
        </w:rPr>
        <w:t>2.7 图怎么来</w:t>
      </w:r>
    </w:p>
    <w:p w14:paraId="104A1FD8">
      <w:pPr>
        <w:spacing w:before="0" w:after="1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混淆矩阵：验证集预测。行是真实类别，列是预测类别，每类 196 窗。t-SNE：分类头之前的向量降到二维，颜色是真实类别。CNN 用卷积之后、线性分类之前的全局向量；GCN 用图卷积之后、线性头之前的向量。下列图对应第一版，注意力关闭。打开注意力后的结果未重画。</w:t>
      </w:r>
    </w:p>
    <w:p w14:paraId="21CB05BB">
      <w:pPr>
        <w:pStyle w:val="3"/>
      </w:pPr>
      <w:r>
        <w:rPr>
          <w:rFonts w:ascii="Times New Roman" w:hAnsi="Times New Roman" w:eastAsia="宋体"/>
          <w:b/>
          <w:sz w:val="32"/>
        </w:rPr>
        <w:t>3  参数</w:t>
      </w:r>
    </w:p>
    <w:p w14:paraId="15FB3DAA">
      <w:pPr>
        <w:pStyle w:val="4"/>
      </w:pPr>
      <w:r>
        <w:rPr>
          <w:rFonts w:ascii="Times New Roman" w:hAnsi="Times New Roman" w:eastAsia="宋体"/>
          <w:b/>
          <w:sz w:val="26"/>
        </w:rPr>
        <w:t>3.1 这一版定下来的</w:t>
      </w:r>
    </w:p>
    <w:p w14:paraId="72259688">
      <w:pPr>
        <w:spacing w:before="0" w:after="1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下面这些在第一版定死，扫参时没有改。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6A2D9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062E4D04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w="4533" w:type="dxa"/>
          </w:tcPr>
          <w:p w14:paraId="61484931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取值</w:t>
            </w:r>
          </w:p>
        </w:tc>
      </w:tr>
      <w:tr w14:paraId="6C3E0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6261A68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数据</w:t>
            </w:r>
          </w:p>
        </w:tc>
        <w:tc>
          <w:tcPr>
            <w:tcW w:w="4533" w:type="dxa"/>
          </w:tcPr>
          <w:p w14:paraId="04E7530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东南大学 DDS 齿轮箱</w:t>
            </w:r>
          </w:p>
        </w:tc>
      </w:tr>
      <w:tr w14:paraId="14E51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59873A5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任务</w:t>
            </w:r>
          </w:p>
        </w:tc>
        <w:tc>
          <w:tcPr>
            <w:tcW w:w="4533" w:type="dxa"/>
          </w:tcPr>
          <w:p w14:paraId="41A4D22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轴承五分类、齿轮五分类，分开做</w:t>
            </w:r>
          </w:p>
        </w:tc>
      </w:tr>
      <w:tr w14:paraId="09FE6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5143EAA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轴承类别</w:t>
            </w:r>
          </w:p>
        </w:tc>
        <w:tc>
          <w:tcPr>
            <w:tcW w:w="4533" w:type="dxa"/>
          </w:tcPr>
          <w:p w14:paraId="0ECB090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健康、滚动体、内圈、外圈、复合</w:t>
            </w:r>
          </w:p>
        </w:tc>
      </w:tr>
      <w:tr w14:paraId="62212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6404CEE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齿轮类别</w:t>
            </w:r>
          </w:p>
        </w:tc>
        <w:tc>
          <w:tcPr>
            <w:tcW w:w="4533" w:type="dxa"/>
          </w:tcPr>
          <w:p w14:paraId="44AD2CB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健康、缺齿、丢齿、齿根、表面</w:t>
            </w:r>
          </w:p>
        </w:tc>
      </w:tr>
      <w:tr w14:paraId="31E72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0051BAD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工况</w:t>
            </w:r>
          </w:p>
        </w:tc>
        <w:tc>
          <w:tcPr>
            <w:tcW w:w="4533" w:type="dxa"/>
          </w:tcPr>
          <w:p w14:paraId="4C2C951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20-0、30-2，分训后再对验证准确率取平均</w:t>
            </w:r>
          </w:p>
        </w:tc>
      </w:tr>
      <w:tr w14:paraId="1F9FE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7D9849A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通道</w:t>
            </w:r>
          </w:p>
        </w:tc>
        <w:tc>
          <w:tcPr>
            <w:tcW w:w="4533" w:type="dxa"/>
          </w:tcPr>
          <w:p w14:paraId="0780D59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行星齿轮箱 x、y、z；不用转矩</w:t>
            </w:r>
          </w:p>
        </w:tc>
      </w:tr>
      <w:tr w14:paraId="29F98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3B5024F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单条记录</w:t>
            </w:r>
          </w:p>
        </w:tc>
        <w:tc>
          <w:tcPr>
            <w:tcW w:w="4533" w:type="dxa"/>
          </w:tcPr>
          <w:p w14:paraId="5A75871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1 048 560 点；标称 5120 Hz</w:t>
            </w:r>
          </w:p>
        </w:tc>
      </w:tr>
      <w:tr w14:paraId="70B99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25C6462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预处理</w:t>
            </w:r>
          </w:p>
        </w:tc>
        <w:tc>
          <w:tcPr>
            <w:tcW w:w="4533" w:type="dxa"/>
          </w:tcPr>
          <w:p w14:paraId="2A195D0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不滤波、不标准化</w:t>
            </w:r>
          </w:p>
        </w:tc>
      </w:tr>
      <w:tr w14:paraId="36BA9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7EE67D1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划分</w:t>
            </w:r>
          </w:p>
        </w:tc>
        <w:tc>
          <w:tcPr>
            <w:tcW w:w="4533" w:type="dxa"/>
          </w:tcPr>
          <w:p w14:paraId="1B6B57D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时间 70% / 15% / 15%，不随机</w:t>
            </w:r>
          </w:p>
        </w:tc>
      </w:tr>
      <w:tr w14:paraId="3B6A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2D200B5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窗长 / 步长</w:t>
            </w:r>
          </w:p>
        </w:tc>
        <w:tc>
          <w:tcPr>
            <w:tcW w:w="4533" w:type="dxa"/>
          </w:tcPr>
          <w:p w14:paraId="19175C5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800 / 800，不重叠</w:t>
            </w:r>
          </w:p>
        </w:tc>
      </w:tr>
      <w:tr w14:paraId="225A5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30658C8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每类窗数</w:t>
            </w:r>
          </w:p>
        </w:tc>
        <w:tc>
          <w:tcPr>
            <w:tcW w:w="4533" w:type="dxa"/>
          </w:tcPr>
          <w:p w14:paraId="6E0E383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训练 917，验证 196，测试 196</w:t>
            </w:r>
          </w:p>
        </w:tc>
      </w:tr>
      <w:tr w14:paraId="5FD9A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1E9FEC9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一次训练样本</w:t>
            </w:r>
          </w:p>
        </w:tc>
        <w:tc>
          <w:tcPr>
            <w:tcW w:w="4533" w:type="dxa"/>
          </w:tcPr>
          <w:p w14:paraId="62480E3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训练 4585，验证 980，测试 980</w:t>
            </w:r>
          </w:p>
        </w:tc>
      </w:tr>
      <w:tr w14:paraId="22660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7E0440F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表示</w:t>
            </w:r>
          </w:p>
        </w:tc>
        <w:tc>
          <w:tcPr>
            <w:tcW w:w="4533" w:type="dxa"/>
          </w:tcPr>
          <w:p w14:paraId="51C9F0D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多时间步状态转移矩阵</w:t>
            </w:r>
          </w:p>
        </w:tc>
      </w:tr>
      <w:tr w14:paraId="758F9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6E3B0CA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状态数</w:t>
            </w:r>
          </w:p>
        </w:tc>
        <w:tc>
          <w:tcPr>
            <w:tcW w:w="4533" w:type="dxa"/>
          </w:tcPr>
          <w:p w14:paraId="51B1B05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6，等宽，边界只由该工况训练集确定</w:t>
            </w:r>
          </w:p>
        </w:tc>
      </w:tr>
      <w:tr w14:paraId="79546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01EA470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时间步</w:t>
            </w:r>
          </w:p>
        </w:tc>
        <w:tc>
          <w:tcPr>
            <w:tcW w:w="4533" w:type="dxa"/>
          </w:tcPr>
          <w:p w14:paraId="2E933DC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1、2、3</w:t>
            </w:r>
          </w:p>
        </w:tc>
      </w:tr>
      <w:tr w14:paraId="2B634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3DE5514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边</w:t>
            </w:r>
          </w:p>
        </w:tc>
        <w:tc>
          <w:tcPr>
            <w:tcW w:w="4533" w:type="dxa"/>
          </w:tcPr>
          <w:p w14:paraId="3C2CFF9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有向；自环保留；权重为全矩阵次数归一化</w:t>
            </w:r>
          </w:p>
        </w:tc>
      </w:tr>
      <w:tr w14:paraId="2FC0B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7EFCB0F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多通道</w:t>
            </w:r>
          </w:p>
        </w:tc>
        <w:tc>
          <w:tcPr>
            <w:tcW w:w="4533" w:type="dxa"/>
          </w:tcPr>
          <w:p w14:paraId="5067751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三轴堆叠，输入 9×6×6</w:t>
            </w:r>
          </w:p>
        </w:tc>
      </w:tr>
      <w:tr w14:paraId="248E5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0317B1B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CNN 结构</w:t>
            </w:r>
          </w:p>
        </w:tc>
        <w:tc>
          <w:tcPr>
            <w:tcW w:w="4533" w:type="dxa"/>
          </w:tcPr>
          <w:p w14:paraId="6972B71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卷积通道 32→64，核 3，池化 2，无额外全连接隐层</w:t>
            </w:r>
          </w:p>
        </w:tc>
      </w:tr>
      <w:tr w14:paraId="59DAE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6AB7289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GCN 结构</w:t>
            </w:r>
          </w:p>
        </w:tc>
        <w:tc>
          <w:tcPr>
            <w:tcW w:w="4533" w:type="dxa"/>
          </w:tcPr>
          <w:p w14:paraId="1BFAFF9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关系式布局，2 层，隐层 32，三步一起传消息</w:t>
            </w:r>
          </w:p>
        </w:tc>
      </w:tr>
      <w:tr w14:paraId="4FAA0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0BD7503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优化器</w:t>
            </w:r>
          </w:p>
        </w:tc>
        <w:tc>
          <w:tcPr>
            <w:tcW w:w="4533" w:type="dxa"/>
          </w:tcPr>
          <w:p w14:paraId="429CD9A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Adam，权重衰减 10⁻⁴，批大小 32</w:t>
            </w:r>
          </w:p>
        </w:tc>
      </w:tr>
      <w:tr w14:paraId="38165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579FE8E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早停</w:t>
            </w:r>
          </w:p>
        </w:tc>
        <w:tc>
          <w:tcPr>
            <w:tcW w:w="4533" w:type="dxa"/>
          </w:tcPr>
          <w:p w14:paraId="7B7A48D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按验证准确率，耐心 30，最多 200 轮</w:t>
            </w:r>
          </w:p>
        </w:tc>
      </w:tr>
      <w:tr w14:paraId="5872C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392527E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训练种子</w:t>
            </w:r>
          </w:p>
        </w:tc>
        <w:tc>
          <w:tcPr>
            <w:tcW w:w="4533" w:type="dxa"/>
          </w:tcPr>
          <w:p w14:paraId="68C022B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42</w:t>
            </w:r>
          </w:p>
        </w:tc>
      </w:tr>
      <w:tr w14:paraId="686BD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484397C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测试集</w:t>
            </w:r>
          </w:p>
        </w:tc>
        <w:tc>
          <w:tcPr>
            <w:tcW w:w="4533" w:type="dxa"/>
          </w:tcPr>
          <w:p w14:paraId="0EDCA0B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已切出，未评分</w:t>
            </w:r>
          </w:p>
        </w:tc>
      </w:tr>
    </w:tbl>
    <w:p w14:paraId="56B285BB">
      <w:pPr>
        <w:spacing w:after="160"/>
      </w:pPr>
    </w:p>
    <w:p w14:paraId="758370FE">
      <w:pPr>
        <w:pStyle w:val="4"/>
      </w:pPr>
      <w:r>
        <w:rPr>
          <w:rFonts w:ascii="Times New Roman" w:hAnsi="Times New Roman" w:eastAsia="宋体"/>
          <w:b/>
          <w:sz w:val="26"/>
        </w:rPr>
        <w:t>3.2 扫过的</w:t>
      </w:r>
    </w:p>
    <w:p w14:paraId="59C09591">
      <w:pPr>
        <w:spacing w:before="0" w:after="1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只扫学习率和 dropout。第一版是学习率 5×10⁻⁴、dropout 0.2、注意力关闭。四条线各自在学习率 {1×10⁻⁴, 5×10⁻⁴, 1×10⁻³} × dropout {0.1, 0.2, 0.3} 上选验证平均最好的一组。窗长、状态数、时间步、是否加权、是否有向、人工网络指标，都没有扫。</w:t>
      </w:r>
    </w:p>
    <w:p w14:paraId="607569BD">
      <w:pPr>
        <w:pStyle w:val="3"/>
      </w:pPr>
      <w:r>
        <w:rPr>
          <w:rFonts w:ascii="Times New Roman" w:hAnsi="Times New Roman" w:eastAsia="宋体"/>
          <w:b/>
          <w:sz w:val="32"/>
        </w:rPr>
        <w:t>4  结果</w:t>
      </w:r>
    </w:p>
    <w:p w14:paraId="146B1797">
      <w:pPr>
        <w:spacing w:before="0" w:after="160" w:line="360" w:lineRule="auto"/>
        <w:ind w:firstLine="42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全部为验证准确率。测试集未评。平均是 20-0 与 30-2 的算术平均。</w:t>
      </w:r>
    </w:p>
    <w:p w14:paraId="2BA456FA">
      <w:pPr>
        <w:spacing w:before="0" w:after="160" w:line="360" w:lineRule="auto"/>
        <w:ind w:firstLine="420"/>
        <w:rPr>
          <w:rFonts w:hint="eastAsia" w:ascii="Times New Roman" w:hAnsi="Times New Roman" w:eastAsia="宋体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一下为参数和对应训练成果：</w:t>
      </w:r>
    </w:p>
    <w:p w14:paraId="32821521">
      <w:pPr>
        <w:spacing w:before="0" w:after="1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第一版</w:t>
      </w:r>
      <w:r>
        <w:rPr>
          <w:rFonts w:hint="eastAsia"/>
          <w:b w:val="0"/>
          <w:sz w:val="24"/>
          <w:lang w:eastAsia="zh-CN"/>
        </w:rPr>
        <w:t>，扫参之前测试流程可通</w:t>
      </w:r>
      <w:r>
        <w:rPr>
          <w:rFonts w:ascii="Times New Roman" w:hAnsi="Times New Roman" w:eastAsia="宋体"/>
          <w:b w:val="0"/>
          <w:sz w:val="24"/>
        </w:rPr>
        <w:t>（学习率 5×10⁻⁴，dropout 0.2，注意力关闭）：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813"/>
        <w:gridCol w:w="1813"/>
        <w:gridCol w:w="1813"/>
        <w:gridCol w:w="1813"/>
      </w:tblGrid>
      <w:tr w14:paraId="36EE7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</w:tcPr>
          <w:p w14:paraId="0770A263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任务</w:t>
            </w:r>
          </w:p>
        </w:tc>
        <w:tc>
          <w:tcPr>
            <w:tcW w:w="1813" w:type="dxa"/>
          </w:tcPr>
          <w:p w14:paraId="69695F8C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方法</w:t>
            </w:r>
          </w:p>
        </w:tc>
        <w:tc>
          <w:tcPr>
            <w:tcW w:w="1813" w:type="dxa"/>
          </w:tcPr>
          <w:p w14:paraId="210E66BB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20-0</w:t>
            </w:r>
          </w:p>
        </w:tc>
        <w:tc>
          <w:tcPr>
            <w:tcW w:w="1813" w:type="dxa"/>
          </w:tcPr>
          <w:p w14:paraId="3A84C2AA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30-2</w:t>
            </w:r>
          </w:p>
        </w:tc>
        <w:tc>
          <w:tcPr>
            <w:tcW w:w="1813" w:type="dxa"/>
          </w:tcPr>
          <w:p w14:paraId="290994A3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平均</w:t>
            </w:r>
          </w:p>
        </w:tc>
      </w:tr>
      <w:tr w14:paraId="0EA95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</w:tcPr>
          <w:p w14:paraId="1F5F32A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轴承</w:t>
            </w:r>
          </w:p>
        </w:tc>
        <w:tc>
          <w:tcPr>
            <w:tcW w:w="1813" w:type="dxa"/>
          </w:tcPr>
          <w:p w14:paraId="349B498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CNN</w:t>
            </w:r>
          </w:p>
        </w:tc>
        <w:tc>
          <w:tcPr>
            <w:tcW w:w="1813" w:type="dxa"/>
          </w:tcPr>
          <w:p w14:paraId="0AA4F20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0.6857</w:t>
            </w:r>
          </w:p>
        </w:tc>
        <w:tc>
          <w:tcPr>
            <w:tcW w:w="1813" w:type="dxa"/>
          </w:tcPr>
          <w:p w14:paraId="733539E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0.9776</w:t>
            </w:r>
          </w:p>
        </w:tc>
        <w:tc>
          <w:tcPr>
            <w:tcW w:w="1813" w:type="dxa"/>
          </w:tcPr>
          <w:p w14:paraId="5B9436A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0.8316</w:t>
            </w:r>
          </w:p>
        </w:tc>
      </w:tr>
      <w:tr w14:paraId="4989E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</w:tcPr>
          <w:p w14:paraId="4C9EE0E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轴承</w:t>
            </w:r>
          </w:p>
        </w:tc>
        <w:tc>
          <w:tcPr>
            <w:tcW w:w="1813" w:type="dxa"/>
          </w:tcPr>
          <w:p w14:paraId="5E7CA36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GCN</w:t>
            </w:r>
          </w:p>
        </w:tc>
        <w:tc>
          <w:tcPr>
            <w:tcW w:w="1813" w:type="dxa"/>
          </w:tcPr>
          <w:p w14:paraId="4543555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0.7296</w:t>
            </w:r>
          </w:p>
        </w:tc>
        <w:tc>
          <w:tcPr>
            <w:tcW w:w="1813" w:type="dxa"/>
          </w:tcPr>
          <w:p w14:paraId="69E0255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0.9898</w:t>
            </w:r>
          </w:p>
        </w:tc>
        <w:tc>
          <w:tcPr>
            <w:tcW w:w="1813" w:type="dxa"/>
          </w:tcPr>
          <w:p w14:paraId="1A7230D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0.8597</w:t>
            </w:r>
          </w:p>
        </w:tc>
      </w:tr>
      <w:tr w14:paraId="04608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</w:tcPr>
          <w:p w14:paraId="6D4F4CA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齿轮</w:t>
            </w:r>
          </w:p>
        </w:tc>
        <w:tc>
          <w:tcPr>
            <w:tcW w:w="1813" w:type="dxa"/>
          </w:tcPr>
          <w:p w14:paraId="1E1A28D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CNN</w:t>
            </w:r>
          </w:p>
        </w:tc>
        <w:tc>
          <w:tcPr>
            <w:tcW w:w="1813" w:type="dxa"/>
          </w:tcPr>
          <w:p w14:paraId="6724F1B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0.9194</w:t>
            </w:r>
          </w:p>
        </w:tc>
        <w:tc>
          <w:tcPr>
            <w:tcW w:w="1813" w:type="dxa"/>
          </w:tcPr>
          <w:p w14:paraId="32E8878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0.8582</w:t>
            </w:r>
          </w:p>
        </w:tc>
        <w:tc>
          <w:tcPr>
            <w:tcW w:w="1813" w:type="dxa"/>
          </w:tcPr>
          <w:p w14:paraId="4C1071A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0.8888</w:t>
            </w:r>
          </w:p>
        </w:tc>
      </w:tr>
      <w:tr w14:paraId="45CD4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</w:tcPr>
          <w:p w14:paraId="5D32E74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齿轮</w:t>
            </w:r>
          </w:p>
        </w:tc>
        <w:tc>
          <w:tcPr>
            <w:tcW w:w="1813" w:type="dxa"/>
          </w:tcPr>
          <w:p w14:paraId="044158F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GCN</w:t>
            </w:r>
          </w:p>
        </w:tc>
        <w:tc>
          <w:tcPr>
            <w:tcW w:w="1813" w:type="dxa"/>
          </w:tcPr>
          <w:p w14:paraId="6E13CCA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0.9184</w:t>
            </w:r>
          </w:p>
        </w:tc>
        <w:tc>
          <w:tcPr>
            <w:tcW w:w="1813" w:type="dxa"/>
          </w:tcPr>
          <w:p w14:paraId="40AD012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0.8194</w:t>
            </w:r>
          </w:p>
        </w:tc>
        <w:tc>
          <w:tcPr>
            <w:tcW w:w="1813" w:type="dxa"/>
          </w:tcPr>
          <w:p w14:paraId="1127B2F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0.8689</w:t>
            </w:r>
          </w:p>
        </w:tc>
      </w:tr>
    </w:tbl>
    <w:p w14:paraId="4CB38340">
      <w:pPr>
        <w:spacing w:after="160"/>
      </w:pPr>
    </w:p>
    <w:p w14:paraId="54C9E84A">
      <w:pPr>
        <w:spacing w:before="0" w:after="160" w:line="360" w:lineRule="auto"/>
        <w:ind w:firstLine="420"/>
      </w:pPr>
      <w:r>
        <w:rPr>
          <w:rFonts w:hint="eastAsia"/>
          <w:b w:val="0"/>
          <w:sz w:val="24"/>
          <w:lang w:eastAsia="zh-CN"/>
        </w:rPr>
        <w:t>扫参后，</w:t>
      </w:r>
      <w:r>
        <w:rPr>
          <w:rFonts w:ascii="Times New Roman" w:hAnsi="Times New Roman" w:eastAsia="宋体"/>
          <w:b w:val="0"/>
          <w:sz w:val="24"/>
        </w:rPr>
        <w:t>四条线各自选参后的最好一组：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 w14:paraId="70D3E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5" w:type="dxa"/>
          </w:tcPr>
          <w:p w14:paraId="2DE74BA7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任务</w:t>
            </w:r>
          </w:p>
        </w:tc>
        <w:tc>
          <w:tcPr>
            <w:tcW w:w="1295" w:type="dxa"/>
          </w:tcPr>
          <w:p w14:paraId="75197525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方法</w:t>
            </w:r>
          </w:p>
        </w:tc>
        <w:tc>
          <w:tcPr>
            <w:tcW w:w="1295" w:type="dxa"/>
          </w:tcPr>
          <w:p w14:paraId="01A6447F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学习率</w:t>
            </w:r>
          </w:p>
        </w:tc>
        <w:tc>
          <w:tcPr>
            <w:tcW w:w="1295" w:type="dxa"/>
          </w:tcPr>
          <w:p w14:paraId="4A4A00B6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dropout</w:t>
            </w:r>
          </w:p>
        </w:tc>
        <w:tc>
          <w:tcPr>
            <w:tcW w:w="1295" w:type="dxa"/>
          </w:tcPr>
          <w:p w14:paraId="03389B7C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20-0</w:t>
            </w:r>
          </w:p>
        </w:tc>
        <w:tc>
          <w:tcPr>
            <w:tcW w:w="1295" w:type="dxa"/>
          </w:tcPr>
          <w:p w14:paraId="00F7370C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30-2</w:t>
            </w:r>
          </w:p>
        </w:tc>
        <w:tc>
          <w:tcPr>
            <w:tcW w:w="1295" w:type="dxa"/>
          </w:tcPr>
          <w:p w14:paraId="3A8AABA0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平均</w:t>
            </w:r>
          </w:p>
        </w:tc>
      </w:tr>
      <w:tr w14:paraId="26EAC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5" w:type="dxa"/>
          </w:tcPr>
          <w:p w14:paraId="6846531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轴承</w:t>
            </w:r>
          </w:p>
        </w:tc>
        <w:tc>
          <w:tcPr>
            <w:tcW w:w="1295" w:type="dxa"/>
          </w:tcPr>
          <w:p w14:paraId="3A965A3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CNN</w:t>
            </w:r>
          </w:p>
        </w:tc>
        <w:tc>
          <w:tcPr>
            <w:tcW w:w="1295" w:type="dxa"/>
          </w:tcPr>
          <w:p w14:paraId="300D84C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5×10⁻⁴</w:t>
            </w:r>
          </w:p>
        </w:tc>
        <w:tc>
          <w:tcPr>
            <w:tcW w:w="1295" w:type="dxa"/>
          </w:tcPr>
          <w:p w14:paraId="48EEFCC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0.1</w:t>
            </w:r>
          </w:p>
        </w:tc>
        <w:tc>
          <w:tcPr>
            <w:tcW w:w="1295" w:type="dxa"/>
          </w:tcPr>
          <w:p w14:paraId="211D56F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0.6867</w:t>
            </w:r>
          </w:p>
        </w:tc>
        <w:tc>
          <w:tcPr>
            <w:tcW w:w="1295" w:type="dxa"/>
          </w:tcPr>
          <w:p w14:paraId="118101F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0.9857</w:t>
            </w:r>
          </w:p>
        </w:tc>
        <w:tc>
          <w:tcPr>
            <w:tcW w:w="1295" w:type="dxa"/>
          </w:tcPr>
          <w:p w14:paraId="7BDBA2C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0.8362</w:t>
            </w:r>
          </w:p>
        </w:tc>
      </w:tr>
      <w:tr w14:paraId="79127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5" w:type="dxa"/>
          </w:tcPr>
          <w:p w14:paraId="647162A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轴承</w:t>
            </w:r>
          </w:p>
        </w:tc>
        <w:tc>
          <w:tcPr>
            <w:tcW w:w="1295" w:type="dxa"/>
          </w:tcPr>
          <w:p w14:paraId="5F02761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CNN + 自注意力</w:t>
            </w:r>
          </w:p>
        </w:tc>
        <w:tc>
          <w:tcPr>
            <w:tcW w:w="1295" w:type="dxa"/>
          </w:tcPr>
          <w:p w14:paraId="0065803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1×10⁻³</w:t>
            </w:r>
          </w:p>
        </w:tc>
        <w:tc>
          <w:tcPr>
            <w:tcW w:w="1295" w:type="dxa"/>
          </w:tcPr>
          <w:p w14:paraId="67D14D8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0.2</w:t>
            </w:r>
          </w:p>
        </w:tc>
        <w:tc>
          <w:tcPr>
            <w:tcW w:w="1295" w:type="dxa"/>
          </w:tcPr>
          <w:p w14:paraId="79B247A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0.6939</w:t>
            </w:r>
          </w:p>
        </w:tc>
        <w:tc>
          <w:tcPr>
            <w:tcW w:w="1295" w:type="dxa"/>
          </w:tcPr>
          <w:p w14:paraId="667EBBA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0.9878</w:t>
            </w:r>
          </w:p>
        </w:tc>
        <w:tc>
          <w:tcPr>
            <w:tcW w:w="1295" w:type="dxa"/>
          </w:tcPr>
          <w:p w14:paraId="4070C99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0.8408</w:t>
            </w:r>
          </w:p>
        </w:tc>
      </w:tr>
      <w:tr w14:paraId="4C2BE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5" w:type="dxa"/>
          </w:tcPr>
          <w:p w14:paraId="2CD0A42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轴承</w:t>
            </w:r>
          </w:p>
        </w:tc>
        <w:tc>
          <w:tcPr>
            <w:tcW w:w="1295" w:type="dxa"/>
          </w:tcPr>
          <w:p w14:paraId="7CE385C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GCN</w:t>
            </w:r>
          </w:p>
        </w:tc>
        <w:tc>
          <w:tcPr>
            <w:tcW w:w="1295" w:type="dxa"/>
          </w:tcPr>
          <w:p w14:paraId="69D6EEF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5×10⁻⁴</w:t>
            </w:r>
          </w:p>
        </w:tc>
        <w:tc>
          <w:tcPr>
            <w:tcW w:w="1295" w:type="dxa"/>
          </w:tcPr>
          <w:p w14:paraId="5572936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0.3</w:t>
            </w:r>
          </w:p>
        </w:tc>
        <w:tc>
          <w:tcPr>
            <w:tcW w:w="1295" w:type="dxa"/>
          </w:tcPr>
          <w:p w14:paraId="7E8C542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0.7316</w:t>
            </w:r>
          </w:p>
        </w:tc>
        <w:tc>
          <w:tcPr>
            <w:tcW w:w="1295" w:type="dxa"/>
          </w:tcPr>
          <w:p w14:paraId="658D516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0.9898</w:t>
            </w:r>
          </w:p>
        </w:tc>
        <w:tc>
          <w:tcPr>
            <w:tcW w:w="1295" w:type="dxa"/>
          </w:tcPr>
          <w:p w14:paraId="7CD895D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0.8607</w:t>
            </w:r>
          </w:p>
        </w:tc>
      </w:tr>
      <w:tr w14:paraId="52927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5" w:type="dxa"/>
          </w:tcPr>
          <w:p w14:paraId="1F334E6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轴承</w:t>
            </w:r>
          </w:p>
        </w:tc>
        <w:tc>
          <w:tcPr>
            <w:tcW w:w="1295" w:type="dxa"/>
          </w:tcPr>
          <w:p w14:paraId="3E8D71C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GCN + 图注意力</w:t>
            </w:r>
          </w:p>
        </w:tc>
        <w:tc>
          <w:tcPr>
            <w:tcW w:w="1295" w:type="dxa"/>
          </w:tcPr>
          <w:p w14:paraId="36925DB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5×10⁻⁴</w:t>
            </w:r>
          </w:p>
        </w:tc>
        <w:tc>
          <w:tcPr>
            <w:tcW w:w="1295" w:type="dxa"/>
          </w:tcPr>
          <w:p w14:paraId="5AB1BDD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0.2</w:t>
            </w:r>
          </w:p>
        </w:tc>
        <w:tc>
          <w:tcPr>
            <w:tcW w:w="1295" w:type="dxa"/>
          </w:tcPr>
          <w:p w14:paraId="6B11C0F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0.7296</w:t>
            </w:r>
          </w:p>
        </w:tc>
        <w:tc>
          <w:tcPr>
            <w:tcW w:w="1295" w:type="dxa"/>
          </w:tcPr>
          <w:p w14:paraId="385608B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0.9908</w:t>
            </w:r>
          </w:p>
        </w:tc>
        <w:tc>
          <w:tcPr>
            <w:tcW w:w="1295" w:type="dxa"/>
          </w:tcPr>
          <w:p w14:paraId="228EBB0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0.8602</w:t>
            </w:r>
          </w:p>
        </w:tc>
      </w:tr>
      <w:tr w14:paraId="72C76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5" w:type="dxa"/>
          </w:tcPr>
          <w:p w14:paraId="0CCB6A4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齿轮</w:t>
            </w:r>
          </w:p>
        </w:tc>
        <w:tc>
          <w:tcPr>
            <w:tcW w:w="1295" w:type="dxa"/>
          </w:tcPr>
          <w:p w14:paraId="7874247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CNN</w:t>
            </w:r>
          </w:p>
        </w:tc>
        <w:tc>
          <w:tcPr>
            <w:tcW w:w="1295" w:type="dxa"/>
          </w:tcPr>
          <w:p w14:paraId="49375BC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5×10⁻⁴</w:t>
            </w:r>
          </w:p>
        </w:tc>
        <w:tc>
          <w:tcPr>
            <w:tcW w:w="1295" w:type="dxa"/>
          </w:tcPr>
          <w:p w14:paraId="13F725A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0.1</w:t>
            </w:r>
          </w:p>
        </w:tc>
        <w:tc>
          <w:tcPr>
            <w:tcW w:w="1295" w:type="dxa"/>
          </w:tcPr>
          <w:p w14:paraId="2A8C823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0.9286</w:t>
            </w:r>
          </w:p>
        </w:tc>
        <w:tc>
          <w:tcPr>
            <w:tcW w:w="1295" w:type="dxa"/>
          </w:tcPr>
          <w:p w14:paraId="3D43F95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0.8622</w:t>
            </w:r>
          </w:p>
        </w:tc>
        <w:tc>
          <w:tcPr>
            <w:tcW w:w="1295" w:type="dxa"/>
          </w:tcPr>
          <w:p w14:paraId="6A95471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0.8954</w:t>
            </w:r>
          </w:p>
        </w:tc>
      </w:tr>
      <w:tr w14:paraId="31ECB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5" w:type="dxa"/>
          </w:tcPr>
          <w:p w14:paraId="1BBC52B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齿轮</w:t>
            </w:r>
          </w:p>
        </w:tc>
        <w:tc>
          <w:tcPr>
            <w:tcW w:w="1295" w:type="dxa"/>
          </w:tcPr>
          <w:p w14:paraId="66635E3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CNN + 自注意力</w:t>
            </w:r>
          </w:p>
        </w:tc>
        <w:tc>
          <w:tcPr>
            <w:tcW w:w="1295" w:type="dxa"/>
          </w:tcPr>
          <w:p w14:paraId="0C6FFEB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1×10⁻³</w:t>
            </w:r>
          </w:p>
        </w:tc>
        <w:tc>
          <w:tcPr>
            <w:tcW w:w="1295" w:type="dxa"/>
          </w:tcPr>
          <w:p w14:paraId="13ADDE2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0.1</w:t>
            </w:r>
          </w:p>
        </w:tc>
        <w:tc>
          <w:tcPr>
            <w:tcW w:w="1295" w:type="dxa"/>
          </w:tcPr>
          <w:p w14:paraId="77D26B7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0.9265</w:t>
            </w:r>
          </w:p>
        </w:tc>
        <w:tc>
          <w:tcPr>
            <w:tcW w:w="1295" w:type="dxa"/>
          </w:tcPr>
          <w:p w14:paraId="33B2A08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0.8602</w:t>
            </w:r>
          </w:p>
        </w:tc>
        <w:tc>
          <w:tcPr>
            <w:tcW w:w="1295" w:type="dxa"/>
          </w:tcPr>
          <w:p w14:paraId="46EC92F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0.8934</w:t>
            </w:r>
          </w:p>
        </w:tc>
      </w:tr>
      <w:tr w14:paraId="742A7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5" w:type="dxa"/>
          </w:tcPr>
          <w:p w14:paraId="319845F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齿轮</w:t>
            </w:r>
          </w:p>
        </w:tc>
        <w:tc>
          <w:tcPr>
            <w:tcW w:w="1295" w:type="dxa"/>
          </w:tcPr>
          <w:p w14:paraId="7F28A90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GCN</w:t>
            </w:r>
          </w:p>
        </w:tc>
        <w:tc>
          <w:tcPr>
            <w:tcW w:w="1295" w:type="dxa"/>
          </w:tcPr>
          <w:p w14:paraId="2B99E4D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1×10⁻³</w:t>
            </w:r>
          </w:p>
        </w:tc>
        <w:tc>
          <w:tcPr>
            <w:tcW w:w="1295" w:type="dxa"/>
          </w:tcPr>
          <w:p w14:paraId="017016F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0.3</w:t>
            </w:r>
          </w:p>
        </w:tc>
        <w:tc>
          <w:tcPr>
            <w:tcW w:w="1295" w:type="dxa"/>
          </w:tcPr>
          <w:p w14:paraId="12FF5F8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0.9184</w:t>
            </w:r>
          </w:p>
        </w:tc>
        <w:tc>
          <w:tcPr>
            <w:tcW w:w="1295" w:type="dxa"/>
          </w:tcPr>
          <w:p w14:paraId="78E458F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0.8541</w:t>
            </w:r>
          </w:p>
        </w:tc>
        <w:tc>
          <w:tcPr>
            <w:tcW w:w="1295" w:type="dxa"/>
          </w:tcPr>
          <w:p w14:paraId="2BBCC41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0.8862</w:t>
            </w:r>
          </w:p>
        </w:tc>
      </w:tr>
      <w:tr w14:paraId="4FAB0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5" w:type="dxa"/>
          </w:tcPr>
          <w:p w14:paraId="312D418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齿轮</w:t>
            </w:r>
          </w:p>
        </w:tc>
        <w:tc>
          <w:tcPr>
            <w:tcW w:w="1295" w:type="dxa"/>
          </w:tcPr>
          <w:p w14:paraId="67D3F91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GCN + 图注意力</w:t>
            </w:r>
          </w:p>
        </w:tc>
        <w:tc>
          <w:tcPr>
            <w:tcW w:w="1295" w:type="dxa"/>
          </w:tcPr>
          <w:p w14:paraId="51A16FC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1×10⁻³</w:t>
            </w:r>
          </w:p>
        </w:tc>
        <w:tc>
          <w:tcPr>
            <w:tcW w:w="1295" w:type="dxa"/>
          </w:tcPr>
          <w:p w14:paraId="5945CEE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0.3</w:t>
            </w:r>
          </w:p>
        </w:tc>
        <w:tc>
          <w:tcPr>
            <w:tcW w:w="1295" w:type="dxa"/>
          </w:tcPr>
          <w:p w14:paraId="7CAB735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0.9204</w:t>
            </w:r>
          </w:p>
        </w:tc>
        <w:tc>
          <w:tcPr>
            <w:tcW w:w="1295" w:type="dxa"/>
          </w:tcPr>
          <w:p w14:paraId="06B8FB5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0.8480</w:t>
            </w:r>
          </w:p>
        </w:tc>
        <w:tc>
          <w:tcPr>
            <w:tcW w:w="1295" w:type="dxa"/>
          </w:tcPr>
          <w:p w14:paraId="3829C88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0.8842</w:t>
            </w:r>
          </w:p>
        </w:tc>
      </w:tr>
    </w:tbl>
    <w:p w14:paraId="3C36C5FC">
      <w:pPr>
        <w:spacing w:after="16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引入自注意力机制后并无明显提升</w:t>
      </w:r>
    </w:p>
    <w:p w14:paraId="788B2FA9">
      <w:pPr>
        <w:spacing w:after="80"/>
        <w:ind w:firstLine="0"/>
        <w:jc w:val="center"/>
      </w:pPr>
      <w:r>
        <w:drawing>
          <wp:inline distT="0" distB="0" distL="114300" distR="114300">
            <wp:extent cx="50292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F76E">
      <w:pPr>
        <w:spacing w:after="240" w:line="360" w:lineRule="auto"/>
        <w:ind w:firstLine="0"/>
      </w:pPr>
      <w:r>
        <w:rPr>
          <w:rFonts w:ascii="Times New Roman" w:hAnsi="Times New Roman" w:eastAsia="宋体"/>
          <w:b w:val="0"/>
          <w:sz w:val="20"/>
        </w:rPr>
        <w:t>图 1　轴承 20-0，CNN，验证混淆矩阵。准确率 0.6857。滚动体、复合、健康交叉；内圈对角占优。</w:t>
      </w:r>
    </w:p>
    <w:p w14:paraId="6554A245">
      <w:pPr>
        <w:spacing w:after="80"/>
        <w:ind w:firstLine="0"/>
        <w:jc w:val="center"/>
      </w:pPr>
      <w:r>
        <w:drawing>
          <wp:inline distT="0" distB="0" distL="114300" distR="114300">
            <wp:extent cx="5029200" cy="4191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00E9">
      <w:pPr>
        <w:spacing w:after="240" w:line="360" w:lineRule="auto"/>
        <w:ind w:firstLine="0"/>
      </w:pPr>
      <w:r>
        <w:rPr>
          <w:rFonts w:ascii="Times New Roman" w:hAnsi="Times New Roman" w:eastAsia="宋体"/>
          <w:b w:val="0"/>
          <w:sz w:val="20"/>
        </w:rPr>
        <w:t>图 2　轴承 20-0，CNN，分类头前 t-SNE。内圈成团；健康、滚动体、复合重叠。</w:t>
      </w:r>
    </w:p>
    <w:p w14:paraId="7490D3E9">
      <w:pPr>
        <w:spacing w:after="80"/>
        <w:ind w:firstLine="0"/>
        <w:jc w:val="center"/>
      </w:pPr>
      <w:r>
        <w:drawing>
          <wp:inline distT="0" distB="0" distL="114300" distR="114300">
            <wp:extent cx="5029200" cy="411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8D4C">
      <w:pPr>
        <w:spacing w:after="240" w:line="360" w:lineRule="auto"/>
        <w:ind w:firstLine="0"/>
      </w:pPr>
      <w:r>
        <w:rPr>
          <w:rFonts w:ascii="Times New Roman" w:hAnsi="Times New Roman" w:eastAsia="宋体"/>
          <w:b w:val="0"/>
          <w:sz w:val="20"/>
        </w:rPr>
        <w:t>图 3　轴承 30-2，CNN，验证混淆矩阵。准确率 0.9776。对角占优。</w:t>
      </w:r>
    </w:p>
    <w:p w14:paraId="3974D7BB">
      <w:pPr>
        <w:spacing w:after="80"/>
        <w:ind w:firstLine="0"/>
        <w:jc w:val="center"/>
      </w:pPr>
      <w:r>
        <w:drawing>
          <wp:inline distT="0" distB="0" distL="114300" distR="114300">
            <wp:extent cx="5029200" cy="4191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18A3">
      <w:pPr>
        <w:spacing w:after="240" w:line="360" w:lineRule="auto"/>
        <w:ind w:firstLine="0"/>
      </w:pPr>
      <w:r>
        <w:rPr>
          <w:rFonts w:ascii="Times New Roman" w:hAnsi="Times New Roman" w:eastAsia="宋体"/>
          <w:b w:val="0"/>
          <w:sz w:val="20"/>
        </w:rPr>
        <w:t>图 4　轴承 30-2，CNN，t-SNE。五类分离。与图 2 对比，差距来自工况。</w:t>
      </w:r>
    </w:p>
    <w:p w14:paraId="24F3723C">
      <w:pPr>
        <w:spacing w:after="80"/>
        <w:ind w:firstLine="0"/>
        <w:jc w:val="center"/>
      </w:pPr>
      <w:r>
        <w:drawing>
          <wp:inline distT="0" distB="0" distL="114300" distR="114300">
            <wp:extent cx="5029200" cy="4114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5612">
      <w:pPr>
        <w:spacing w:after="240" w:line="360" w:lineRule="auto"/>
        <w:ind w:firstLine="0"/>
      </w:pPr>
      <w:r>
        <w:rPr>
          <w:rFonts w:ascii="Times New Roman" w:hAnsi="Times New Roman" w:eastAsia="宋体"/>
          <w:b w:val="0"/>
          <w:sz w:val="20"/>
        </w:rPr>
        <w:t>图 5　轴承 20-0，GCN，验证混淆矩阵。准确率 0.7296。与 CNN 同一套转移矩阵。内圈清楚，其余三类仍混。</w:t>
      </w:r>
    </w:p>
    <w:p w14:paraId="60A6E020">
      <w:pPr>
        <w:spacing w:after="80"/>
        <w:ind w:firstLine="0"/>
        <w:jc w:val="center"/>
      </w:pPr>
      <w:r>
        <w:drawing>
          <wp:inline distT="0" distB="0" distL="114300" distR="114300">
            <wp:extent cx="5029200" cy="4191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FDCC">
      <w:pPr>
        <w:spacing w:after="240" w:line="360" w:lineRule="auto"/>
        <w:ind w:firstLine="0"/>
      </w:pPr>
      <w:r>
        <w:rPr>
          <w:rFonts w:ascii="Times New Roman" w:hAnsi="Times New Roman" w:eastAsia="宋体"/>
          <w:b w:val="0"/>
          <w:sz w:val="20"/>
        </w:rPr>
        <w:t>图 6　轴承 20-0，GCN，图卷积后 t-SNE。与图 5 同一现象。</w:t>
      </w:r>
    </w:p>
    <w:p w14:paraId="68F9DA94">
      <w:pPr>
        <w:spacing w:after="80"/>
        <w:ind w:firstLine="0"/>
        <w:jc w:val="center"/>
      </w:pPr>
      <w:r>
        <w:drawing>
          <wp:inline distT="0" distB="0" distL="114300" distR="114300">
            <wp:extent cx="5029200" cy="4114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81FB">
      <w:pPr>
        <w:spacing w:after="240" w:line="360" w:lineRule="auto"/>
        <w:ind w:firstLine="0"/>
      </w:pPr>
      <w:r>
        <w:rPr>
          <w:rFonts w:ascii="Times New Roman" w:hAnsi="Times New Roman" w:eastAsia="宋体"/>
          <w:b w:val="0"/>
          <w:sz w:val="20"/>
        </w:rPr>
        <w:t>图 7　轴承 30-2，GCN，验证混淆矩阵。准确率 0.9898。复合类 196 窗全部正确。</w:t>
      </w:r>
    </w:p>
    <w:p w14:paraId="3FB791BA">
      <w:pPr>
        <w:spacing w:after="80"/>
        <w:ind w:firstLine="0"/>
        <w:jc w:val="center"/>
      </w:pPr>
      <w:r>
        <w:drawing>
          <wp:inline distT="0" distB="0" distL="114300" distR="114300">
            <wp:extent cx="5029200" cy="4191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8895">
      <w:pPr>
        <w:spacing w:after="240" w:line="360" w:lineRule="auto"/>
        <w:ind w:firstLine="0"/>
      </w:pPr>
      <w:r>
        <w:rPr>
          <w:rFonts w:ascii="Times New Roman" w:hAnsi="Times New Roman" w:eastAsia="宋体"/>
          <w:b w:val="0"/>
          <w:sz w:val="20"/>
        </w:rPr>
        <w:t>图 8　轴承 30-2，GCN，t-SNE。五类分离。</w:t>
      </w:r>
    </w:p>
    <w:p w14:paraId="2308C64D">
      <w:pPr>
        <w:spacing w:after="80"/>
        <w:ind w:firstLine="0"/>
        <w:jc w:val="center"/>
      </w:pPr>
      <w:r>
        <w:drawing>
          <wp:inline distT="0" distB="0" distL="114300" distR="114300">
            <wp:extent cx="5029200" cy="4114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ADF0">
      <w:pPr>
        <w:spacing w:after="240" w:line="360" w:lineRule="auto"/>
        <w:ind w:firstLine="0"/>
      </w:pPr>
      <w:r>
        <w:rPr>
          <w:rFonts w:ascii="Times New Roman" w:hAnsi="Times New Roman" w:eastAsia="宋体"/>
          <w:b w:val="0"/>
          <w:sz w:val="20"/>
        </w:rPr>
        <w:t>图 9　齿轮 20-0，CNN，验证混淆矩阵。准确率 0.9194。健康、缺齿几乎全对；误差在缺齿与表面。</w:t>
      </w:r>
    </w:p>
    <w:p w14:paraId="60463CF9">
      <w:pPr>
        <w:spacing w:after="80"/>
        <w:ind w:firstLine="0"/>
        <w:jc w:val="center"/>
      </w:pPr>
      <w:r>
        <w:drawing>
          <wp:inline distT="0" distB="0" distL="114300" distR="114300">
            <wp:extent cx="5029200" cy="4191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196E">
      <w:pPr>
        <w:spacing w:after="240" w:line="360" w:lineRule="auto"/>
        <w:ind w:firstLine="0"/>
      </w:pPr>
      <w:r>
        <w:rPr>
          <w:rFonts w:ascii="Times New Roman" w:hAnsi="Times New Roman" w:eastAsia="宋体"/>
          <w:b w:val="0"/>
          <w:sz w:val="20"/>
        </w:rPr>
        <w:t>图 10　齿轮 20-0，CNN，t-SNE。健康远离其余类。</w:t>
      </w:r>
    </w:p>
    <w:p w14:paraId="6487BF8C">
      <w:pPr>
        <w:spacing w:after="80"/>
        <w:ind w:firstLine="0"/>
        <w:jc w:val="center"/>
      </w:pPr>
      <w:r>
        <w:drawing>
          <wp:inline distT="0" distB="0" distL="114300" distR="114300">
            <wp:extent cx="5029200" cy="4114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AA79">
      <w:pPr>
        <w:spacing w:after="240" w:line="360" w:lineRule="auto"/>
        <w:ind w:firstLine="0"/>
      </w:pPr>
      <w:r>
        <w:rPr>
          <w:rFonts w:ascii="Times New Roman" w:hAnsi="Times New Roman" w:eastAsia="宋体"/>
          <w:b w:val="0"/>
          <w:sz w:val="20"/>
        </w:rPr>
        <w:t>图 11　齿轮 30-2，CNN，验证混淆矩阵。准确率 0.8582。健康全对；缺齿、齿根、表面互串。</w:t>
      </w:r>
    </w:p>
    <w:p w14:paraId="24F9B9C2">
      <w:pPr>
        <w:spacing w:after="80"/>
        <w:ind w:firstLine="0"/>
        <w:jc w:val="center"/>
      </w:pPr>
      <w:r>
        <w:drawing>
          <wp:inline distT="0" distB="0" distL="114300" distR="114300">
            <wp:extent cx="5029200" cy="4191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36D3">
      <w:pPr>
        <w:spacing w:after="240" w:line="360" w:lineRule="auto"/>
        <w:ind w:firstLine="0"/>
      </w:pPr>
      <w:r>
        <w:rPr>
          <w:rFonts w:ascii="Times New Roman" w:hAnsi="Times New Roman" w:eastAsia="宋体"/>
          <w:b w:val="0"/>
          <w:sz w:val="20"/>
        </w:rPr>
        <w:t>图 12　齿轮 30-2，CNN，t-SNE。健康独立，其余四类靠近。</w:t>
      </w:r>
    </w:p>
    <w:p w14:paraId="43DD006E">
      <w:pPr>
        <w:spacing w:after="80"/>
        <w:ind w:firstLine="0"/>
        <w:jc w:val="center"/>
      </w:pPr>
      <w:r>
        <w:drawing>
          <wp:inline distT="0" distB="0" distL="114300" distR="114300">
            <wp:extent cx="5029200" cy="4114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C1EC7">
      <w:pPr>
        <w:spacing w:after="240" w:line="360" w:lineRule="auto"/>
        <w:ind w:firstLine="0"/>
      </w:pPr>
      <w:r>
        <w:rPr>
          <w:rFonts w:ascii="Times New Roman" w:hAnsi="Times New Roman" w:eastAsia="宋体"/>
          <w:b w:val="0"/>
          <w:sz w:val="20"/>
        </w:rPr>
        <w:t>图 13　齿轮 20-0，GCN，验证混淆矩阵。准确率 0.9184。与 CNN 接近。</w:t>
      </w:r>
    </w:p>
    <w:p w14:paraId="0A93D182">
      <w:pPr>
        <w:spacing w:after="80"/>
        <w:ind w:firstLine="0"/>
        <w:jc w:val="center"/>
      </w:pPr>
      <w:r>
        <w:drawing>
          <wp:inline distT="0" distB="0" distL="114300" distR="114300">
            <wp:extent cx="5029200" cy="4191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37BC">
      <w:pPr>
        <w:spacing w:after="240" w:line="360" w:lineRule="auto"/>
        <w:ind w:firstLine="0"/>
      </w:pPr>
      <w:r>
        <w:rPr>
          <w:rFonts w:ascii="Times New Roman" w:hAnsi="Times New Roman" w:eastAsia="宋体"/>
          <w:b w:val="0"/>
          <w:sz w:val="20"/>
        </w:rPr>
        <w:t>图 14　齿轮 20-0，GCN，t-SNE。健康分离，故障类有重叠。</w:t>
      </w:r>
    </w:p>
    <w:p w14:paraId="7DB28457">
      <w:pPr>
        <w:spacing w:after="80"/>
        <w:ind w:firstLine="0"/>
        <w:jc w:val="center"/>
      </w:pPr>
      <w:r>
        <w:drawing>
          <wp:inline distT="0" distB="0" distL="114300" distR="114300">
            <wp:extent cx="5029200" cy="4114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3755">
      <w:pPr>
        <w:spacing w:after="240" w:line="360" w:lineRule="auto"/>
        <w:ind w:firstLine="0"/>
      </w:pPr>
      <w:r>
        <w:rPr>
          <w:rFonts w:ascii="Times New Roman" w:hAnsi="Times New Roman" w:eastAsia="宋体"/>
          <w:b w:val="0"/>
          <w:sz w:val="20"/>
        </w:rPr>
        <w:t>图 15　齿轮 30-2，GCN，验证混淆矩阵。准确率 0.8194。第一版齿轮 30-2 最低。</w:t>
      </w:r>
    </w:p>
    <w:p w14:paraId="02DEAE04">
      <w:pPr>
        <w:spacing w:after="80"/>
        <w:ind w:firstLine="0"/>
        <w:jc w:val="center"/>
      </w:pPr>
      <w:r>
        <w:drawing>
          <wp:inline distT="0" distB="0" distL="114300" distR="114300">
            <wp:extent cx="5029200" cy="4191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B7AC">
      <w:pPr>
        <w:spacing w:after="240" w:line="360" w:lineRule="auto"/>
        <w:ind w:firstLine="0"/>
      </w:pPr>
      <w:r>
        <w:rPr>
          <w:rFonts w:ascii="Times New Roman" w:hAnsi="Times New Roman" w:eastAsia="宋体"/>
          <w:b w:val="0"/>
          <w:sz w:val="20"/>
        </w:rPr>
        <w:t>图 16　齿轮 30-2，GCN，t-SNE。健康一侧，故障类叠在另一侧。</w:t>
      </w:r>
    </w:p>
    <w:p w14:paraId="36FD7C9C">
      <w:pPr>
        <w:pStyle w:val="3"/>
      </w:pPr>
      <w:r>
        <w:rPr>
          <w:rFonts w:ascii="Times New Roman" w:hAnsi="Times New Roman" w:eastAsia="宋体"/>
          <w:b/>
          <w:sz w:val="32"/>
        </w:rPr>
        <w:t>5  分析</w:t>
      </w:r>
    </w:p>
    <w:p w14:paraId="3A7EE74D">
      <w:pPr>
        <w:spacing w:before="0" w:after="1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当前停在第一版表示上：窗长 800、6 个状态、时间步 1/2/3、有向、概率权重、三通道堆叠。已经试过的是：换 CNN 或 GCN、开或关注意力、扫学习率和 dropout</w:t>
      </w:r>
      <w:r>
        <w:rPr>
          <w:rFonts w:hint="eastAsia"/>
          <w:b w:val="0"/>
          <w:sz w:val="24"/>
          <w:lang w:eastAsia="zh-CN"/>
        </w:rPr>
        <w:t>（正则化防过拟合）</w:t>
      </w:r>
      <w:r>
        <w:rPr>
          <w:rFonts w:ascii="Times New Roman" w:hAnsi="Times New Roman" w:eastAsia="宋体"/>
          <w:b w:val="0"/>
          <w:sz w:val="24"/>
        </w:rPr>
        <w:t>。矩阵怎么从振动算出来，这一版没有改。</w:t>
      </w:r>
    </w:p>
    <w:p w14:paraId="0BCC1DA5">
      <w:pPr>
        <w:spacing w:before="0" w:after="1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第一，瓶颈在表示与工况，不在学习率。144 组只把平均抬了约 0.001–0.017。轴承 20-0 仍停在 0.69–0.73，30-2 已到 0.98–0.99。各类窗数相同，不是类别不平衡。同一套矩阵换工况就可以分开，</w:t>
      </w:r>
      <w:r>
        <w:rPr>
          <w:rFonts w:hint="eastAsia"/>
          <w:b w:val="0"/>
          <w:sz w:val="24"/>
          <w:lang w:eastAsia="zh-CN"/>
        </w:rPr>
        <w:t>认为</w:t>
      </w:r>
      <w:r>
        <w:rPr>
          <w:rFonts w:ascii="Times New Roman" w:hAnsi="Times New Roman" w:eastAsia="宋体"/>
          <w:b w:val="0"/>
          <w:sz w:val="24"/>
        </w:rPr>
        <w:t xml:space="preserve"> 20-0 上健康、滚动体、复合这三类在转移矩阵里本身叠在一起。图 2 与图 4、图 6 与图 8 对看：分类头之前就已经分不开，再扫 dropout 补不回来。</w:t>
      </w:r>
    </w:p>
    <w:p w14:paraId="0D048C96">
      <w:pPr>
        <w:spacing w:before="0" w:after="1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第二，注意力这一版没有拉开差距。CNN 的自注意力加在 9×6×6 的小空间上；GCN 的边本来已带转移概率。扫参后开注意力的平均与关闭时相差不到 0.01，齿轮上甚至略低。目前不能把注意力写成主要贡献。</w:t>
      </w:r>
    </w:p>
    <w:p w14:paraId="2D66B3E5">
      <w:pPr>
        <w:spacing w:before="0" w:after="1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第三，CNN 与 GCN 没有压倒性优劣。轴承上 GCN 平均高约 0.02，主要来自 20-0（0.73 对 0.69）；齿轮上 CNN 平均更高，30-2 上 GCN 更弱（0.82–0.85 对 CNN 的 0.86）。两者读同一份矩阵，差的是读法，不是两套数据。</w:t>
      </w:r>
    </w:p>
    <w:p w14:paraId="23D9BF1F">
      <w:pPr>
        <w:spacing w:before="0" w:after="1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第四，错误有结构。轴承 20-0：内圈可分，难在健康 / 滚动体 / 复合。齿轮：健康几乎总是单独成团；难在缺齿、齿根、表面，困难工况是 30-2，与轴承相反。后面若改窗长、状态数或时间步，应看这些易混类是否分开，而不是只看总平均。</w:t>
      </w:r>
    </w:p>
    <w:p w14:paraId="40416CF4">
      <w:pPr>
        <w:spacing w:before="0" w:after="1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第五，</w:t>
      </w:r>
      <w:r>
        <w:rPr>
          <w:rFonts w:hint="eastAsia"/>
          <w:b w:val="0"/>
          <w:sz w:val="24"/>
          <w:lang w:eastAsia="zh-CN"/>
        </w:rPr>
        <w:t>暂未开放测试集，准确率来源于验证集。数据集的数据量可能不足。</w:t>
      </w:r>
      <w:r>
        <w:rPr>
          <w:rFonts w:ascii="Times New Roman" w:hAnsi="Times New Roman" w:eastAsia="宋体"/>
          <w:b w:val="0"/>
          <w:sz w:val="24"/>
        </w:rPr>
        <w:t>人工网络指标对照、只做一步转移、改节点数与窗长都还没做</w:t>
      </w:r>
      <w:r>
        <w:rPr>
          <w:rFonts w:hint="eastAsia"/>
          <w:b w:val="0"/>
          <w:sz w:val="24"/>
          <w:lang w:eastAsia="zh-CN"/>
        </w:rPr>
        <w:t>，这些方面可以继续优化</w:t>
      </w:r>
      <w:bookmarkStart w:id="0" w:name="_GoBack"/>
      <w:bookmarkEnd w:id="0"/>
      <w:r>
        <w:rPr>
          <w:rFonts w:ascii="Times New Roman" w:hAnsi="Times New Roman" w:eastAsia="宋体"/>
          <w:b w:val="0"/>
          <w:sz w:val="24"/>
        </w:rPr>
        <w:t>。</w:t>
      </w:r>
    </w:p>
    <w:p w14:paraId="68056B35">
      <w:pPr>
        <w:pStyle w:val="3"/>
      </w:pPr>
      <w:r>
        <w:rPr>
          <w:rFonts w:ascii="Times New Roman" w:hAnsi="Times New Roman" w:eastAsia="宋体"/>
          <w:b/>
          <w:sz w:val="32"/>
        </w:rPr>
        <w:t>6  引用</w:t>
      </w:r>
    </w:p>
    <w:p w14:paraId="04914F7B">
      <w:pPr>
        <w:spacing w:before="0" w:after="1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数据：东南大学 DDS 齿轮箱，轴承与齿轮两组记录，工况 20-0、30-2。</w:t>
      </w:r>
    </w:p>
    <w:sectPr>
      <w:pgSz w:w="12240" w:h="15840"/>
      <w:pgMar w:top="1440" w:right="1587" w:bottom="1440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0E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2614</Words>
  <Characters>3282</Characters>
  <Lines>0</Lines>
  <Paragraphs>0</Paragraphs>
  <TotalTime>30</TotalTime>
  <ScaleCrop>false</ScaleCrop>
  <LinksUpToDate>false</LinksUpToDate>
  <CharactersWithSpaces>3562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彭家乐</cp:lastModifiedBy>
  <dcterms:modified xsi:type="dcterms:W3CDTF">2026-09-22T13:26:22Z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eyJoZGlkIjoiMjY4YTcyMGE5MmM2OGFmOGMxNDVlZTU4YzVkMmU5ODQiLCJ1c2VySWQiOiIxNzQ1MzcwMTYxIn0=</vt:lpwstr>
  </property>
  <property fmtid="{D5CDD505-2E9C-101B-9397-08002B2CF9AE}" pid="3" name="KSOProductBuildVer">
    <vt:lpwstr>2052-12.1.0.23542</vt:lpwstr>
  </property>
  <property fmtid="{D5CDD505-2E9C-101B-9397-08002B2CF9AE}" pid="4" name="ICV">
    <vt:lpwstr>4275157712B44DE9BABE420E59D062A7_12</vt:lpwstr>
  </property>
</Properties>
</file>