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与同源文献对比分析</w:t>
      </w:r>
      <w:r/>
    </w:p>
    <w:p>
      <w:pPr>
        <w:jc w:val="center"/>
      </w:pPr>
      <w:r>
        <w:rPr>
          <w:b/>
        </w:rPr>
        <w:t>——按导师要求、聚焦本文优势</w:t>
      </w:r>
      <w:r/>
    </w:p>
    <w:p>
      <w:pPr>
        <w:jc w:val="center"/>
      </w:pPr>
      <w:r>
        <w:rPr>
          <w:color w:val="666666"/>
        </w:rPr>
        <w:t>依据：</w:t>
      </w:r>
      <w:r>
        <w:rPr>
          <w:color w:val="666666"/>
        </w:rPr>
        <w:t xml:space="preserve">2026-09-30 </w:t>
      </w:r>
      <w:r>
        <w:rPr>
          <w:color w:val="666666"/>
        </w:rPr>
        <w:t>导师通话（对象：杨光宇，</w:t>
      </w:r>
      <w:r>
        <w:rPr>
          <w:color w:val="666666"/>
        </w:rPr>
        <w:t>17</w:t>
      </w:r>
      <w:r>
        <w:rPr>
          <w:color w:val="666666"/>
        </w:rPr>
        <w:t>分</w:t>
      </w:r>
      <w:r>
        <w:rPr>
          <w:color w:val="666666"/>
        </w:rPr>
        <w:t>32</w:t>
      </w:r>
      <w:r>
        <w:rPr>
          <w:color w:val="666666"/>
        </w:rPr>
        <w:t>秒）确定的对比原则</w:t>
      </w:r>
      <w:r/>
    </w:p>
    <w:p>
      <w:pPr/>
      <w:r>
        <w:rPr>
          <w:b/>
        </w:rPr>
        <w:t>一句话结论：</w:t>
      </w:r>
      <w:r>
        <w:t>在同一</w:t>
      </w:r>
      <w:r>
        <w:t xml:space="preserve"> SEU </w:t>
      </w:r>
      <w:r>
        <w:t>数据库、同一类任务、同一准确率指标的前提下，本文与文献处于同一水平线；但本文在</w:t>
      </w:r>
      <w:r>
        <w:rPr>
          <w:b/>
        </w:rPr>
        <w:t>效率（导师点的最大切入点）、任务覆盖、评估严格度、参数可调空间</w:t>
      </w:r>
      <w:r>
        <w:t>四个方面明显占优，且这些优势都用</w:t>
      </w:r>
      <w:r>
        <w:rPr>
          <w:b/>
        </w:rPr>
        <w:t>同口径数据</w:t>
      </w:r>
      <w:r>
        <w:t>支撑。</w:t>
      </w:r>
      <w:r/>
    </w:p>
    <w:p>
      <w:pPr>
        <w:pStyle w:val="Heading2"/>
      </w:pPr>
      <w:r>
        <w:t>一、先说清楚导师定的"可比"规矩（对比的标尺）</w:t>
      </w:r>
      <w:r/>
    </w:p>
    <w:p>
      <w:pPr/>
      <w:r>
        <w:t>导师反复强调：</w:t>
      </w:r>
      <w:r>
        <w:rPr>
          <w:b/>
        </w:rPr>
        <w:t>实验设置不一样，就没有可比性</w:t>
      </w:r>
      <w:r>
        <w:t>。读别人论文要逐项核查五件事：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3370"/>
        <w:gridCol w:w="3370"/>
      </w:tblGrid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核查项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对本对比的意义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数据库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是不是同一个（</w:t>
            </w:r>
            <w:r>
              <w:t xml:space="preserve"> </w:t>
            </w:r>
            <w:r>
              <w:t>SEU</w:t>
            </w:r>
            <w:r>
              <w:t xml:space="preserve"> </w:t>
            </w:r>
            <w:r>
              <w:t>），是否把所有数据都用上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只有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同库才纳入对比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训练方式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多少数据训练、多少数据测试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数据量差异大则分数不可直接比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③ 有没有做交叉验证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导师原话：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如果没做，我就不跟他比了，因为跟我的方式不一样，他不一定准确</w:t>
            </w:r>
            <w:r>
              <w:t xml:space="preserve"> </w:t>
            </w:r>
            <w:r>
              <w:t>"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这是本文最硬的方法论优势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 xml:space="preserve">④ </w:t>
            </w:r>
            <w:r>
              <w:t xml:space="preserve"> </w:t>
            </w:r>
            <w:r>
              <w:t>指标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用什么指标算的（准确率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敏感性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特异性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必须同指标才能比，警惕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比不过就换指标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 xml:space="preserve">⑤ </w:t>
            </w:r>
            <w:r>
              <w:t xml:space="preserve"> </w:t>
            </w:r>
            <w:r>
              <w:t>任务是否全高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是不是每个分类任务都报，还是只挑好看的报</w:t>
            </w:r>
          </w:p>
        </w:tc>
        <w:tc>
          <w:tcPr>
            <w:tcW w:type="pct" w:w="1950"/>
            <w:vAlign w:val="center"/>
          </w:tcPr>
          <w:p>
            <w:pPr>
              <w:spacing w:line="240" w:lineRule="auto" w:before="60" w:after="60"/>
            </w:pPr>
            <w:r>
              <w:t>本文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个任务全报</w:t>
            </w:r>
          </w:p>
        </w:tc>
      </w:tr>
    </w:tbl>
    <w:p>
      <w:r/>
    </w:p>
    <w:p>
      <w:pPr/>
      <w:r>
        <w:rPr>
          <w:b/>
        </w:rPr>
        <w:t>结论：</w:t>
      </w:r>
      <w:r>
        <w:t>本文与文献的对比，全部限定在</w:t>
      </w:r>
      <w:r>
        <w:t>"</w:t>
      </w:r>
      <w:r>
        <w:rPr>
          <w:b/>
        </w:rPr>
        <w:t>同 SEU 数据库 + 同工况内分类 + 准确率</w:t>
      </w:r>
      <w:r>
        <w:t>"</w:t>
      </w:r>
      <w:r>
        <w:t>三条线内；跨工况、跨机器、非</w:t>
      </w:r>
      <w:r>
        <w:t xml:space="preserve"> SEU </w:t>
      </w:r>
      <w:r>
        <w:t>数据库的文献只作背景，不计入比较。</w:t>
      </w:r>
      <w:r/>
    </w:p>
    <w:p>
      <w:pPr>
        <w:pStyle w:val="Heading2"/>
      </w:pPr>
      <w:r>
        <w:t>二、本文实验设置（对比的基准）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本文设置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数据库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>东南大学</w:t>
            </w:r>
            <w:r>
              <w:t xml:space="preserve"> </w:t>
            </w:r>
            <w:r>
              <w:t xml:space="preserve"> SEU DDS </w:t>
            </w:r>
            <w:r>
              <w:t xml:space="preserve"> </w:t>
            </w:r>
            <w:r>
              <w:t>齿轮箱（采样</w:t>
            </w:r>
            <w:r>
              <w:t xml:space="preserve"> </w:t>
            </w:r>
            <w:r>
              <w:t xml:space="preserve"> 5120 Hz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任务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轴承 5 类</w:t>
            </w:r>
            <w:r>
              <w:t xml:space="preserve"> + </w:t>
            </w:r>
            <w:r>
              <w:rPr>
                <w:b/>
              </w:rPr>
              <w:t>齿轮 5 类</w:t>
            </w:r>
            <w:r>
              <w:t xml:space="preserve"> </w:t>
            </w:r>
            <w:r>
              <w:t>（分开建模，共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个组合）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工况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>20 Hz–0 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20-0</w:t>
            </w:r>
            <w:r>
              <w:t xml:space="preserve"> </w:t>
            </w:r>
            <w:r>
              <w:t>）与</w:t>
            </w:r>
            <w:r>
              <w:t xml:space="preserve"> </w:t>
            </w:r>
            <w:r>
              <w:t xml:space="preserve"> 30 Hz–2 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30-2</w:t>
            </w:r>
            <w:r>
              <w:t xml:space="preserve"> </w:t>
            </w:r>
            <w:r>
              <w:t>），各自独立建模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划分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时间有序划分</w:t>
            </w:r>
            <w:r>
              <w:t xml:space="preserve"> </w:t>
            </w:r>
            <w:r>
              <w:t>（训练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验证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密封测试</w:t>
            </w:r>
            <w:r>
              <w:t xml:space="preserve"> </w:t>
            </w:r>
            <w:r>
              <w:t xml:space="preserve"> = 70/20/10</w:t>
            </w:r>
            <w:r>
              <w:t xml:space="preserve"> </w:t>
            </w:r>
            <w:r>
              <w:t>），测试集冻结后</w:t>
            </w:r>
            <w:r>
              <w:t xml:space="preserve"> </w:t>
            </w:r>
            <w:r>
              <w:rPr>
                <w:b/>
              </w:rPr>
              <w:t>只评一次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验证方式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5 折 rolling-origin 时间序列交叉验证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独立</w:t>
            </w:r>
            <w:r>
              <w:t xml:space="preserve"> </w:t>
            </w:r>
            <w:r>
              <w:t xml:space="preserve"> hold-out </w:t>
            </w:r>
            <w:r>
              <w:t xml:space="preserve"> </w:t>
            </w:r>
            <w:r>
              <w:t>留出验证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指标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>准确率（</w:t>
            </w:r>
            <w:r>
              <w:t xml:space="preserve"> </w:t>
            </w:r>
            <w:r>
              <w:t>accuracy</w:t>
            </w:r>
            <w:r>
              <w:t xml:space="preserve"> </w:t>
            </w:r>
            <w:r>
              <w:t>）；并给出每类敏感性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特异性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精确率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输入表示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个符号状态的多时间步转移矩阵（</w:t>
            </w:r>
            <w:r>
              <w:t xml:space="preserve"> </w:t>
            </w:r>
            <w:r>
              <w:t>21×6×6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准确率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 xml:space="preserve">密封测试：轴承 </w:t>
            </w:r>
            <w:r>
              <w:rPr>
                <w:b/>
              </w:rPr>
              <w:t>99.9%~100%</w:t>
            </w:r>
            <w:r>
              <w:t xml:space="preserve"> ，齿轮 </w:t>
            </w:r>
            <w:r>
              <w:rPr>
                <w:b/>
              </w:rPr>
              <w:t>97.4%~99.2%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折</w:t>
            </w:r>
            <w:r>
              <w:t xml:space="preserve"> </w:t>
            </w:r>
            <w:r>
              <w:t xml:space="preserve"> CV </w:t>
            </w:r>
            <w:r>
              <w:t xml:space="preserve"> </w:t>
            </w:r>
            <w:r>
              <w:t>最低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96.9%</w:t>
            </w:r>
            <w:r>
              <w:t xml:space="preserve"> ；独立留出最低 </w:t>
            </w:r>
            <w:r>
              <w:rPr>
                <w:b/>
              </w:rPr>
              <w:t>98.0%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60" w:after="60"/>
            </w:pPr>
            <w:r>
              <w:t>效率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60" w:after="60"/>
            </w:pPr>
            <w:r>
              <w:t xml:space="preserve">CNN </w:t>
            </w:r>
            <w:r>
              <w:rPr>
                <w:b/>
              </w:rPr>
              <w:t>2.51 万参数 / 0.384 MFLOPs / 104 KB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GCN </w:t>
            </w:r>
            <w:r>
              <w:t xml:space="preserve"> </w:t>
            </w:r>
            <w:r>
              <w:rPr>
                <w:b/>
              </w:rPr>
              <w:t>1.85 万 / 0.558 M / 79 KB</w:t>
            </w:r>
          </w:p>
        </w:tc>
      </w:tr>
    </w:tbl>
    <w:p>
      <w:r/>
    </w:p>
    <w:p>
      <w:pPr>
        <w:pStyle w:val="Heading2"/>
      </w:pPr>
      <w:r>
        <w:t>三、同源文献总览（SEU 同库，逐项核查）</w:t>
      </w:r>
      <w:r/>
    </w:p>
    <w:p>
      <w:pPr/>
      <w:r>
        <w:t xml:space="preserve">✓ = </w:t>
      </w:r>
      <w:r>
        <w:t>做了交叉验证；</w:t>
      </w:r>
      <w:r>
        <w:t xml:space="preserve">✗ = </w:t>
      </w:r>
      <w:r>
        <w:t>未做（多为随机划分</w:t>
      </w:r>
      <w:r>
        <w:t xml:space="preserve"> / </w:t>
      </w:r>
      <w:r>
        <w:t>固定比例一次性划分）。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文献（出处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年份）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任务（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SEU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部分）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训练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测试划分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交叉验证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报告结果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改进</w:t>
            </w:r>
            <w:r>
              <w:t xml:space="preserve"> </w:t>
            </w:r>
            <w:r>
              <w:t xml:space="preserve"> Transformer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ACM 2023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工况合并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80/20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✓ 5 </w:t>
            </w:r>
            <w:r>
              <w:t xml:space="preserve"> </w:t>
            </w:r>
            <w:r>
              <w:t>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99.4%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SNR 10 dB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ICEEMDAN-MPE-AWT + SE-ResNeXt50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Appl. Sci. 2024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随机抽样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97.5%~100%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FE-MCFormer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arXiv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8:2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−2 dB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100%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−10 dB </w:t>
            </w:r>
            <w:r>
              <w:t xml:space="preserve"> </w:t>
            </w:r>
            <w:r>
              <w:t>仍</w:t>
            </w:r>
            <w:r>
              <w:t xml:space="preserve"> </w:t>
            </w:r>
            <w:r>
              <w:t xml:space="preserve"> 95.51%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MTF-TLSSA-DarkNet-GRU-MSA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Frontiers 2026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每类</w:t>
            </w:r>
            <w:r>
              <w:t xml:space="preserve"> </w:t>
            </w:r>
            <w:r>
              <w:t xml:space="preserve"> 1000/1000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99.17%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同步电机</w:t>
            </w:r>
            <w:r>
              <w:t xml:space="preserve"> </w:t>
            </w:r>
            <w:r>
              <w:t xml:space="preserve"> MSRC+CBAM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IIETA 2026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轴承 + 齿轮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G1/G2 </w:t>
            </w:r>
            <w:r>
              <w:t xml:space="preserve"> </w:t>
            </w:r>
            <w:r>
              <w:t>四任务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未明确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99.4~99.6%</w:t>
            </w:r>
            <w:r>
              <w:t xml:space="preserve"> </w:t>
            </w:r>
            <w:r>
              <w:t>；齿轮</w:t>
            </w:r>
            <w:r>
              <w:t xml:space="preserve"> </w:t>
            </w:r>
            <w:r>
              <w:t xml:space="preserve"> 99.4~99.8%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LECA-EfficientNetV2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Sci. Rep. 2023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轴承 + 齿轮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20-0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4:1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99.38%</w:t>
            </w:r>
            <w:r>
              <w:t xml:space="preserve"> </w:t>
            </w:r>
            <w:r>
              <w:t>；齿轮</w:t>
            </w:r>
            <w:r>
              <w:t xml:space="preserve"> </w:t>
            </w:r>
            <w:r>
              <w:t xml:space="preserve"> 99.75%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SCBM-Net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Sci. Rep.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类（两工况合并）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70:30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98.33%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SAGAN + </w:t>
            </w:r>
            <w:r>
              <w:t xml:space="preserve"> </w:t>
            </w:r>
            <w:r>
              <w:t>改进</w:t>
            </w:r>
            <w:r>
              <w:t xml:space="preserve"> </w:t>
            </w:r>
            <w:r>
              <w:t xml:space="preserve"> ResNet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Sci. Rep.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8:1:1</w:t>
            </w:r>
            <w:r>
              <w:t xml:space="preserve"> </w:t>
            </w:r>
            <w:r>
              <w:t>（重叠采样）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SNR6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98.42%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SNR0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95%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MGE-ResNet </w:t>
            </w:r>
            <w:r>
              <w:t xml:space="preserve"> </w:t>
            </w:r>
            <w:r>
              <w:t>多尺度轻量</w:t>
            </w:r>
            <w:r>
              <w:t xml:space="preserve"> </w:t>
            </w:r>
            <w:r>
              <w:t xml:space="preserve"> CNN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Processes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每类</w:t>
            </w:r>
            <w:r>
              <w:t xml:space="preserve"> </w:t>
            </w:r>
            <w:r>
              <w:t xml:space="preserve"> 100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3:1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次重复）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99.44%±0.42%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机器学习（</w:t>
            </w:r>
            <w:r>
              <w:t xml:space="preserve"> </w:t>
            </w:r>
            <w:r>
              <w:t>Algorithms 2023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未明确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传统</w:t>
            </w:r>
            <w:r>
              <w:t xml:space="preserve"> </w:t>
            </w:r>
            <w:r>
              <w:t xml:space="preserve"> ML</w:t>
            </w:r>
            <w:r>
              <w:t xml:space="preserve"> </w:t>
            </w:r>
            <w:r>
              <w:t>（相对较低）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多模态深度融合</w:t>
            </w:r>
            <w:r>
              <w:t xml:space="preserve"> </w:t>
            </w:r>
            <w:r>
              <w:t xml:space="preserve"> BiLSTM+CNN+Transformer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ACM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SEU </w:t>
            </w:r>
            <w:r>
              <w:t xml:space="preserve"> </w:t>
            </w:r>
            <w:r>
              <w:t>轴承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齿轮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未明确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99.96%</w:t>
            </w:r>
            <w:r>
              <w:t xml:space="preserve"> </w:t>
            </w:r>
            <w:r>
              <w:t>；齿轮</w:t>
            </w:r>
            <w:r>
              <w:t xml:space="preserve"> </w:t>
            </w:r>
            <w:r>
              <w:t xml:space="preserve"> ~99%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TL-RN-ELM</w:t>
            </w:r>
            <w:r>
              <w:t xml:space="preserve"> </w:t>
            </w:r>
            <w:r>
              <w:t>（中文期刊）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齿轮（迁移）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未明确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平均</w:t>
            </w:r>
            <w:r>
              <w:t xml:space="preserve"> </w:t>
            </w:r>
            <w:r>
              <w:t xml:space="preserve"> 98.79%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13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DSMC-ECA（Sensors 2026）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齿轮 5 类（20-0）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60/20/20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−6 dB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86.84%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14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ADGCC-Net（Processes 2025）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轴承 5 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0.3:0.2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99.91%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15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CS-LAMRNet（Mathematics 2025）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每类</w:t>
            </w:r>
            <w:r>
              <w:t xml:space="preserve"> </w:t>
            </w:r>
            <w:r>
              <w:t xml:space="preserve"> 800/200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SNR≥12 dB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100%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16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1D CNN-LSTM（Wiley 2025）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6600/70/250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✓ 10 折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报告完整</w:t>
            </w:r>
          </w:p>
        </w:tc>
      </w:tr>
      <w:tr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17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 xml:space="preserve">TL + </w:t>
            </w:r>
            <w:r>
              <w:t xml:space="preserve"> </w:t>
            </w:r>
            <w:r>
              <w:t>注意力轻量模型（</w:t>
            </w:r>
            <w:r>
              <w:t xml:space="preserve"> </w:t>
            </w:r>
            <w:r>
              <w:t>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轴承（跨转速）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迁移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acc</w:t>
            </w:r>
          </w:p>
        </w:tc>
        <w:tc>
          <w:tcPr>
            <w:tcW w:type="dxa" w:w="1234"/>
            <w:vAlign w:val="center"/>
          </w:tcPr>
          <w:p>
            <w:pPr>
              <w:spacing w:line="240" w:lineRule="auto" w:before="60" w:after="60"/>
            </w:pPr>
            <w:r>
              <w:t>100%</w:t>
            </w:r>
            <w:r>
              <w:t xml:space="preserve"> </w:t>
            </w:r>
            <w:r>
              <w:t>（模型尺寸</w:t>
            </w:r>
            <w:r>
              <w:t xml:space="preserve"> </w:t>
            </w:r>
            <w:r>
              <w:t xml:space="preserve"> −91.97%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FLOPs −61.86%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b/>
        </w:rPr>
        <w:t>两个关键观察：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同时做"轴承 + 齿轮"两任务的，只有 #5、#6、#16（及 #17 部分）</w:t>
      </w:r>
      <w:r>
        <w:t>——</w:t>
      </w:r>
      <w:r>
        <w:t>其余多数</w:t>
      </w:r>
      <w:r>
        <w:rPr>
          <w:b/>
        </w:rPr>
        <w:t>只做齿轮或只做轴承</w:t>
      </w:r>
      <w:r>
        <w:t>。任务覆盖正是本文的差异点。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真正做了交叉验证的只有 #1（5 折）、#16（10 折）</w:t>
      </w:r>
      <w:r>
        <w:t>——</w:t>
      </w:r>
      <w:r>
        <w:t>绝大多数文献是</w:t>
      </w:r>
      <w:r>
        <w:rPr>
          <w:b/>
        </w:rPr>
        <w:t>固定比例一次性划分、无交叉验证</w:t>
      </w:r>
      <w:r>
        <w:t>。按导师的说法，</w:t>
      </w:r>
      <w:r>
        <w:t>"</w:t>
      </w:r>
      <w:r>
        <w:t>没做交叉验证的，分数不一定可靠</w:t>
      </w:r>
      <w:r>
        <w:t>"</w:t>
      </w:r>
      <w:r>
        <w:t>。</w:t>
      </w:r>
      <w:r>
        <w:rPr>
          <w:b/>
        </w:rPr>
        <w:t>本文是唯一同时给出 5 折时间序列 CV + 独立留出验证的</w:t>
      </w:r>
      <w:r>
        <w:t>。</w:t>
      </w:r>
      <w:r/>
    </w:p>
    <w:p>
      <w:pPr>
        <w:pStyle w:val="Heading2"/>
      </w:pPr>
      <w:r>
        <w:t>四、优势一：效率高、实时性强、能耗低（导师点的最大切入点）</w:t>
      </w:r>
      <w:r/>
    </w:p>
    <w:p>
      <w:pPr/>
      <w:r>
        <w:t>导师原话：</w:t>
      </w:r>
      <w:r>
        <w:t>"</w:t>
      </w:r>
      <w:r>
        <w:rPr>
          <w:b/>
        </w:rPr>
        <w:t>我们这个方法训练很快，不像深度学习好难搞；你看你们这个才六个状态，训练起来很快</w:t>
      </w:r>
      <w:r>
        <w:t>……</w:t>
      </w:r>
      <w:r>
        <w:t>故障都发生了，你还得算半天。</w:t>
      </w:r>
      <w:r>
        <w:t xml:space="preserve">" </w:t>
      </w:r>
      <w:r>
        <w:t>效率是最能站住脚的切入角度。下面把</w:t>
      </w:r>
      <w:r>
        <w:rPr>
          <w:b/>
        </w:rPr>
        <w:t>报告了复杂度指标的同源文献</w:t>
      </w:r>
      <w:r>
        <w:t>与本文放在同一张表里。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参数量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计算量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FLOPs/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样本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模型大小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输入形式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 CNN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25,093（0.025 M）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0.384 M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104 KB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21×6×6 </w:t>
            </w:r>
            <w:r>
              <w:t xml:space="preserve"> </w:t>
            </w:r>
            <w:r>
              <w:t>符号转移矩阵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 GCN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18,549（0.019 M）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0.558 M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79 KB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DSMC-ECA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Sensors 2026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204,000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0.204 M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10.037 M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≈800 KB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1024 </w:t>
            </w:r>
            <w:r>
              <w:t xml:space="preserve"> </w:t>
            </w:r>
            <w:r>
              <w:t>点原始信号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ADGCC-Net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Processes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—</w:t>
            </w:r>
            <w:r>
              <w:t xml:space="preserve"> </w:t>
            </w:r>
            <w:r>
              <w:t>（约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万级）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未报告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82.2 KB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灰度图</w:t>
            </w:r>
            <w:r>
              <w:t xml:space="preserve"> </w:t>
            </w:r>
            <w:r>
              <w:t xml:space="preserve"> + ShuffleNetV2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MGE-ResNet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Processes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未报告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1.99 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=1990 M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224×224 GASF </w:t>
            </w:r>
            <w:r>
              <w:t xml:space="preserve"> </w:t>
            </w:r>
            <w:r>
              <w:t>图像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改进</w:t>
            </w:r>
            <w:r>
              <w:t xml:space="preserve"> </w:t>
            </w:r>
            <w:r>
              <w:t xml:space="preserve"> Transformer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ACM 2023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层</w:t>
            </w:r>
            <w:r>
              <w:t xml:space="preserve"> </w:t>
            </w:r>
            <w:r>
              <w:t xml:space="preserve"> / 16 </w:t>
            </w:r>
            <w:r>
              <w:t xml:space="preserve"> </w:t>
            </w:r>
            <w:r>
              <w:t>头（未报数）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未报告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1×1024 </w:t>
            </w:r>
            <w:r>
              <w:t xml:space="preserve"> </w:t>
            </w:r>
            <w:r>
              <w:t>原始信号</w:t>
            </w:r>
          </w:p>
        </w:tc>
      </w:tr>
    </w:tbl>
    <w:p>
      <w:r/>
    </w:p>
    <w:p>
      <w:pPr/>
      <w:r>
        <w:rPr>
          <w:b/>
        </w:rPr>
        <w:t>结论（同口径）：</w:t>
      </w:r>
      <w:r/>
    </w:p>
    <w:p>
      <w:pPr>
        <w:pStyle w:val="ListBullet"/>
      </w:pPr>
      <w:r>
        <w:t>参数量：本文（</w:t>
      </w:r>
      <w:r>
        <w:t>0.019~0.025 M</w:t>
      </w:r>
      <w:r>
        <w:t>）比</w:t>
      </w:r>
      <w:r>
        <w:t xml:space="preserve"> DSMC-ECA</w:t>
      </w:r>
      <w:r>
        <w:t>（</w:t>
      </w:r>
      <w:r>
        <w:t>0.204 M</w:t>
      </w:r>
      <w:r>
        <w:t>）</w:t>
      </w:r>
      <w:r>
        <w:rPr>
          <w:b/>
        </w:rPr>
        <w:t>小约 8~10 倍</w:t>
      </w:r>
      <w:r>
        <w:t>；</w:t>
      </w:r>
    </w:p>
    <w:p>
      <w:pPr>
        <w:pStyle w:val="ListBullet"/>
      </w:pPr>
      <w:r>
        <w:t>计算量：本文（</w:t>
      </w:r>
      <w:r>
        <w:t>0.38~0.56 MFLOPs</w:t>
      </w:r>
      <w:r>
        <w:t>）比</w:t>
      </w:r>
      <w:r>
        <w:t xml:space="preserve"> DSMC-ECA</w:t>
      </w:r>
      <w:r>
        <w:t>（</w:t>
      </w:r>
      <w:r>
        <w:t>10.037 MFLOPs</w:t>
      </w:r>
      <w:r>
        <w:t>）</w:t>
      </w:r>
      <w:r>
        <w:rPr>
          <w:b/>
        </w:rPr>
        <w:t>少约 20~26 倍</w:t>
      </w:r>
      <w:r>
        <w:t>；比</w:t>
      </w:r>
      <w:r>
        <w:t xml:space="preserve"> MGE-ResNet</w:t>
      </w:r>
      <w:r>
        <w:t>（</w:t>
      </w:r>
      <w:r>
        <w:t>1990 MFLOPs</w:t>
      </w:r>
      <w:r>
        <w:t>）</w:t>
      </w:r>
      <w:r>
        <w:rPr>
          <w:b/>
        </w:rPr>
        <w:t>少约 3 个数量级</w:t>
      </w:r>
      <w:r>
        <w:t>；</w:t>
      </w:r>
    </w:p>
    <w:p>
      <w:pPr>
        <w:pStyle w:val="ListBullet"/>
      </w:pPr>
      <w:r>
        <w:t xml:space="preserve">推理吞吐：本文 </w:t>
      </w:r>
      <w:r>
        <w:rPr>
          <w:b/>
        </w:rPr>
        <w:t>3.7 万~5.3 万样本/秒</w:t>
      </w:r>
      <w:r>
        <w:t>（</w:t>
      </w:r>
      <w:r>
        <w:t>RTX 4060</w:t>
      </w:r>
      <w:r>
        <w:t>，批</w:t>
      </w:r>
      <w:r>
        <w:t xml:space="preserve"> 32</w:t>
      </w:r>
      <w:r>
        <w:t>），显存占用仅</w:t>
      </w:r>
      <w:r>
        <w:t xml:space="preserve"> </w:t>
      </w:r>
      <w:r>
        <w:rPr>
          <w:b/>
        </w:rPr>
        <w:t>18~21 MB</w:t>
      </w:r>
      <w:r>
        <w:t xml:space="preserve">，单批延迟 </w:t>
      </w:r>
      <w:r>
        <w:rPr>
          <w:b/>
        </w:rPr>
        <w:t>0.6~1.3 ms</w:t>
      </w:r>
      <w:r>
        <w:t>。</w:t>
      </w:r>
      <w:r/>
    </w:p>
    <w:p>
      <w:pPr/>
      <w:r>
        <w:rPr>
          <w:b/>
        </w:rPr>
        <w:t>说明（诚实口径）：</w:t>
      </w:r>
      <w:r>
        <w:t xml:space="preserve">FLOPs </w:t>
      </w:r>
      <w:r>
        <w:t>与输入形式强相关</w:t>
      </w:r>
      <w:r>
        <w:t>——</w:t>
      </w:r>
      <w:r>
        <w:t>本文输入是压缩到</w:t>
      </w:r>
      <w:r>
        <w:t xml:space="preserve"> 21×6×6 </w:t>
      </w:r>
      <w:r>
        <w:t>的符号矩阵，而非</w:t>
      </w:r>
      <w:r>
        <w:t xml:space="preserve"> 1024 </w:t>
      </w:r>
      <w:r>
        <w:t>点原始信号或</w:t>
      </w:r>
      <w:r>
        <w:t xml:space="preserve"> 224×224 </w:t>
      </w:r>
      <w:r>
        <w:t>图像，所以计算量天生就小。</w:t>
      </w:r>
      <w:r>
        <w:rPr>
          <w:b/>
        </w:rPr>
        <w:t>这恰恰是"把信号压成状态转移矩阵"这一表示的功劳</w:t>
      </w:r>
      <w:r>
        <w:t>，也是导师所说</w:t>
      </w:r>
      <w:r>
        <w:t>"</w:t>
      </w:r>
      <w:r>
        <w:t>算得少、能耗低</w:t>
      </w:r>
      <w:r>
        <w:t>"</w:t>
      </w:r>
      <w:r>
        <w:t>的直接来源。对比时不夸大</w:t>
      </w:r>
      <w:r>
        <w:t>"</w:t>
      </w:r>
      <w:r>
        <w:t>比某模型快几千倍</w:t>
      </w:r>
      <w:r>
        <w:t>"</w:t>
      </w:r>
      <w:r>
        <w:t>，只陈述</w:t>
      </w:r>
      <w:r>
        <w:t>"</w:t>
      </w:r>
      <w:r>
        <w:t>在各自报告口径下，本文的参数量与计算量同比最小</w:t>
      </w:r>
      <w:r>
        <w:t>"</w:t>
      </w:r>
      <w:r>
        <w:t>。</w:t>
      </w:r>
      <w:r/>
    </w:p>
    <w:p>
      <w:pPr>
        <w:pStyle w:val="Heading2"/>
      </w:pPr>
      <w:r>
        <w:t>五、优势二：任务覆盖最全（别人没做的我们也做了）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283"/>
        <w:gridCol w:w="3283"/>
      </w:tblGrid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覆盖维度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多数文献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故障对象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 xml:space="preserve">只做轴承 </w:t>
            </w:r>
            <w:r>
              <w:rPr>
                <w:b/>
              </w:rPr>
              <w:t>或</w:t>
            </w:r>
            <w:r>
              <w:t xml:space="preserve"> 只做齿轮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轴承 + 齿轮都做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工况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常合并两工况报一个数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20-0、30-2 各自独立建模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任务数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 xml:space="preserve">1~2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8 个组合全报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对象</w:t>
            </w:r>
            <w:r>
              <w:t xml:space="preserve"> </w:t>
            </w:r>
            <w:r>
              <w:t xml:space="preserve"> × 2 </w:t>
            </w:r>
            <w:r>
              <w:t xml:space="preserve"> </w:t>
            </w:r>
            <w:r>
              <w:t>工况</w:t>
            </w:r>
            <w:r>
              <w:t xml:space="preserve"> </w:t>
            </w:r>
            <w:r>
              <w:t xml:space="preserve"> × 2 </w:t>
            </w:r>
            <w:r>
              <w:t xml:space="preserve"> </w:t>
            </w:r>
            <w:r>
              <w:t>架构）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结果完整性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只挑高的报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高的低的都报（最低</w:t>
            </w:r>
            <w:r>
              <w:t xml:space="preserve"> </w:t>
            </w:r>
            <w:r>
              <w:t xml:space="preserve"> 96.9% </w:t>
            </w:r>
            <w:r>
              <w:t xml:space="preserve"> </w:t>
            </w:r>
            <w:r>
              <w:t>也写在正文）</w:t>
            </w:r>
          </w:p>
        </w:tc>
      </w:tr>
    </w:tbl>
    <w:p>
      <w:r/>
    </w:p>
    <w:p>
      <w:pPr/>
      <w:r>
        <w:t>导师提醒</w:t>
      </w:r>
      <w:r>
        <w:t>"</w:t>
      </w:r>
      <w:r>
        <w:rPr>
          <w:b/>
        </w:rPr>
        <w:t>有的论文只挑好看的任务报</w:t>
      </w:r>
      <w:r>
        <w:t>"</w:t>
      </w:r>
      <w:r>
        <w:t>。本文</w:t>
      </w:r>
      <w:r>
        <w:t xml:space="preserve"> 8 </w:t>
      </w:r>
      <w:r>
        <w:t>个任务、每类敏感性</w:t>
      </w:r>
      <w:r>
        <w:t>/</w:t>
      </w:r>
      <w:r>
        <w:t>特异性</w:t>
      </w:r>
      <w:r>
        <w:t>/</w:t>
      </w:r>
      <w:r>
        <w:t>精确率全部列出，</w:t>
      </w:r>
      <w:r>
        <w:rPr>
          <w:b/>
        </w:rPr>
        <w:t>没有一个被隐藏</w:t>
      </w:r>
      <w:r>
        <w:t>。</w:t>
      </w:r>
      <w:r/>
    </w:p>
    <w:p>
      <w:pPr>
        <w:pStyle w:val="Heading2"/>
      </w:pPr>
      <w:r>
        <w:t>六、优势三：评估协议最严（同分含金量更高）</w:t>
      </w:r>
      <w:r/>
    </w:p>
    <w:p>
      <w:pPr/>
      <w:r>
        <w:t>这是</w:t>
      </w:r>
      <w:r>
        <w:rPr>
          <w:b/>
        </w:rPr>
        <w:t>方法论层面的硬差异</w:t>
      </w:r>
      <w:r>
        <w:t>，也是导师</w:t>
      </w:r>
      <w:r>
        <w:t>"</w:t>
      </w:r>
      <w:r>
        <w:t>没做交叉验证就不比</w:t>
      </w:r>
      <w:r>
        <w:t>"</w:t>
      </w:r>
      <w:r>
        <w:t>那句话的直接回应。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283"/>
        <w:gridCol w:w="3283"/>
      </w:tblGrid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对比项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多数同源文献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划分方式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随机划分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固定比例一次性划分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时间有序划分</w:t>
            </w:r>
            <w:r>
              <w:t xml:space="preserve"> （过去训练、未来测试）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交叉验证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 xml:space="preserve">多数 </w:t>
            </w:r>
            <w:r>
              <w:rPr>
                <w:b/>
              </w:rPr>
              <w:t>无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5 折 rolling-origin 时间序列 CV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40 </w:t>
            </w:r>
            <w:r>
              <w:t xml:space="preserve"> </w:t>
            </w:r>
            <w:r>
              <w:t>折全部</w:t>
            </w:r>
            <w:r>
              <w:t xml:space="preserve"> </w:t>
            </w:r>
            <w:r>
              <w:t xml:space="preserve"> ≥95%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泄漏防护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相邻窗口易同时落入训练与测试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训练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测试在时间上</w:t>
            </w:r>
            <w:r>
              <w:t xml:space="preserve"> </w:t>
            </w:r>
            <w:r>
              <w:rPr>
                <w:b/>
              </w:rPr>
              <w:t>严格先后、无重叠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结果稳定性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单次结果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三口径互证：调参期</w:t>
            </w:r>
            <w:r>
              <w:t xml:space="preserve"> </w:t>
            </w:r>
            <w:r>
              <w:t xml:space="preserve"> / CV / </w:t>
            </w:r>
            <w:r>
              <w:t xml:space="preserve"> </w:t>
            </w:r>
            <w:r>
              <w:t>独立留出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报告口径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常报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最高一次</w:t>
            </w:r>
            <w:r>
              <w:t xml:space="preserve"> </w:t>
            </w:r>
            <w:r>
              <w:t>"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 xml:space="preserve">报 </w:t>
            </w:r>
            <w:r>
              <w:rPr>
                <w:b/>
              </w:rPr>
              <w:t>区间 + 最低值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96.9% ~ 100%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b/>
        </w:rPr>
        <w:t>一句话：</w:t>
      </w:r>
      <w:r>
        <w:t>文献的分数普遍是</w:t>
      </w:r>
      <w:r>
        <w:t>"</w:t>
      </w:r>
      <w:r>
        <w:t>随机切一次</w:t>
      </w:r>
      <w:r>
        <w:t>"</w:t>
      </w:r>
      <w:r>
        <w:t>得到的乐观值；本文的</w:t>
      </w:r>
      <w:r>
        <w:t xml:space="preserve"> 96.9% </w:t>
      </w:r>
      <w:r>
        <w:t>是</w:t>
      </w:r>
      <w:r>
        <w:t>"</w:t>
      </w:r>
      <w:r>
        <w:t>训练在前、测试在后、物理上无法偷看</w:t>
      </w:r>
      <w:r>
        <w:t>"</w:t>
      </w:r>
      <w:r>
        <w:t>得到的保守值。</w:t>
      </w:r>
      <w:r>
        <w:rPr>
          <w:b/>
        </w:rPr>
        <w:t>同样的分数，本文的含金量更高</w:t>
      </w:r>
      <w:r>
        <w:t>——</w:t>
      </w:r>
      <w:r>
        <w:t>这正是导师要的</w:t>
      </w:r>
      <w:r>
        <w:t>"</w:t>
      </w:r>
      <w:r>
        <w:t>设置一致才比</w:t>
      </w:r>
      <w:r>
        <w:t>"</w:t>
      </w:r>
      <w:r>
        <w:t>。</w:t>
      </w:r>
      <w:r/>
    </w:p>
    <w:p>
      <w:pPr>
        <w:pStyle w:val="Heading2"/>
      </w:pPr>
      <w:r>
        <w:t>七、优势四：每个任务有自己的最优参数（参数优化空间大）</w:t>
      </w:r>
      <w:r/>
    </w:p>
    <w:p>
      <w:pPr/>
      <w:r>
        <w:t>导师原话：</w:t>
      </w:r>
      <w:r>
        <w:t>"</w:t>
      </w:r>
      <w:r>
        <w:rPr>
          <w:b/>
        </w:rPr>
        <w:t>每个分类任务都可以有自己的最优参数，不一定所有任务都用同一组参数</w:t>
      </w:r>
      <w:r>
        <w:t>。</w:t>
      </w:r>
      <w:r>
        <w:t xml:space="preserve">" </w:t>
      </w:r>
      <w:r>
        <w:t>本文做了系统的参数消融，结论清晰：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283"/>
        <w:gridCol w:w="3283"/>
      </w:tblGrid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参数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试验取值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时间步（步长）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1→3→5→7→9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 xml:space="preserve">步数越多样本信息越全，但 </w:t>
            </w:r>
            <w:r>
              <w:rPr>
                <w:b/>
              </w:rPr>
              <w:t>相邻步信息冗余</w:t>
            </w:r>
            <w:r>
              <w:t xml:space="preserve"> </w:t>
            </w:r>
            <w:r>
              <w:t>，跳取（</w:t>
            </w:r>
            <w:r>
              <w:t xml:space="preserve"> </w:t>
            </w:r>
            <w:r>
              <w:t>1→3→5</w:t>
            </w:r>
            <w:r>
              <w:t xml:space="preserve"> </w:t>
            </w:r>
            <w:r>
              <w:t>）即可饱和（与导师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跳着取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的建议一致）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状态分组（</w:t>
            </w:r>
            <w:r>
              <w:t xml:space="preserve"> </w:t>
            </w:r>
            <w:r>
              <w:t>bins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4 / 6 / 8 / 10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6 组最优</w:t>
            </w:r>
            <w:r>
              <w:t xml:space="preserve"> （太少损失信息，太多引入噪声）</w:t>
            </w:r>
          </w:p>
        </w:tc>
      </w:tr>
      <w:tr>
        <w:tc>
          <w:tcPr>
            <w:tcW w:type="pct" w:w="1200"/>
            <w:vAlign w:val="center"/>
          </w:tcPr>
          <w:p>
            <w:pPr>
              <w:spacing w:line="240" w:lineRule="auto" w:before="60" w:after="60"/>
            </w:pPr>
            <w:r>
              <w:t>窗口长度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跳步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t>L800 / L1600 / w400 / w800</w:t>
            </w:r>
          </w:p>
        </w:tc>
        <w:tc>
          <w:tcPr>
            <w:tcW w:type="pct" w:w="190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窗长 1600 + 50% 重叠最关键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0.9867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b/>
        </w:rPr>
        <w:t>意义：</w:t>
      </w:r>
      <w:r>
        <w:t>本文不是</w:t>
      </w:r>
      <w:r>
        <w:t>"</w:t>
      </w:r>
      <w:r>
        <w:t>一个参数打天下</w:t>
      </w:r>
      <w:r>
        <w:t>"</w:t>
      </w:r>
      <w:r>
        <w:t>，而是</w:t>
      </w:r>
      <w:r>
        <w:rPr>
          <w:b/>
        </w:rPr>
        <w:t>每个任务各自找到最优参数</w:t>
      </w:r>
      <w:r>
        <w:t>后准确率都不低</w:t>
      </w:r>
      <w:r>
        <w:t>——</w:t>
      </w:r>
      <w:r>
        <w:t>这正对应导师说的</w:t>
      </w:r>
      <w:r>
        <w:t>"</w:t>
      </w:r>
      <w:r>
        <w:t>参数优化空间极大</w:t>
      </w:r>
      <w:r>
        <w:t>"</w:t>
      </w:r>
      <w:r>
        <w:t>。</w:t>
      </w:r>
      <w:r/>
    </w:p>
    <w:p>
      <w:pPr>
        <w:pStyle w:val="Heading2"/>
      </w:pPr>
      <w:r>
        <w:t>八、优势五：准确率同档，轴承持平甚至略优</w:t>
      </w:r>
      <w:r/>
    </w:p>
    <w:p>
      <w:pPr/>
      <w:r>
        <w:t>按导师</w:t>
      </w:r>
      <w:r>
        <w:t>"</w:t>
      </w:r>
      <w:r>
        <w:t>同协议才能比</w:t>
      </w:r>
      <w:r>
        <w:t>"</w:t>
      </w:r>
      <w:r>
        <w:t>的要求，本文</w:t>
      </w:r>
      <w:r>
        <w:rPr>
          <w:b/>
        </w:rPr>
        <w:t>主动复现了文献的协议</w:t>
      </w:r>
      <w:r>
        <w:t>再对比（而不是拿自己最优的数和别人比）：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复现对象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文献协议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文献报告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本文同协议复现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（改进</w:t>
            </w:r>
            <w:r>
              <w:t xml:space="preserve"> </w:t>
            </w:r>
            <w:r>
              <w:t xml:space="preserve"> Transformer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类合并两工况、</w:t>
            </w:r>
            <w:r>
              <w:t xml:space="preserve"> </w:t>
            </w:r>
            <w:r>
              <w:t>80/20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SNR 10 dB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99.4%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96.5%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MSRC+CBAM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每工况</w:t>
            </w:r>
            <w:r>
              <w:t xml:space="preserve"> </w:t>
            </w:r>
            <w:r>
              <w:t xml:space="preserve"> 60% </w:t>
            </w:r>
            <w:r>
              <w:t xml:space="preserve"> </w:t>
            </w:r>
            <w:r>
              <w:t>训练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99.4~99.6%</w:t>
            </w:r>
            <w:r>
              <w:t xml:space="preserve"> </w:t>
            </w:r>
            <w:r>
              <w:t>；齿轮</w:t>
            </w:r>
            <w:r>
              <w:t xml:space="preserve"> </w:t>
            </w:r>
            <w:r>
              <w:t xml:space="preserve"> 99.4~99.8%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99.9%~100%</w:t>
            </w:r>
            <w:r>
              <w:t xml:space="preserve"> ；齿轮 </w:t>
            </w:r>
            <w:r>
              <w:rPr>
                <w:b/>
              </w:rPr>
              <w:t>96.2%~98.6%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（噪声协议）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加噪训练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加噪测试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SNR 10 dB</w:t>
            </w:r>
            <w:r>
              <w:t xml:space="preserve"> </w:t>
            </w:r>
            <w:r>
              <w:t>：轴承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99.7%~99.9%</w:t>
            </w:r>
            <w:r>
              <w:t xml:space="preserve"> 、齿轮 </w:t>
            </w:r>
            <w:r>
              <w:rPr>
                <w:b/>
              </w:rPr>
              <w:t>97.2%~98.6%</w:t>
            </w:r>
          </w:p>
        </w:tc>
      </w:tr>
    </w:tbl>
    <w:p>
      <w:r/>
    </w:p>
    <w:p>
      <w:pPr/>
      <w:r>
        <w:rPr>
          <w:b/>
        </w:rPr>
        <w:t>结论：</w:t>
      </w:r>
      <w:r>
        <w:t>轴承任务上本文</w:t>
      </w:r>
      <w:r>
        <w:rPr>
          <w:b/>
        </w:rPr>
        <w:t>持平甚至略高</w:t>
      </w:r>
      <w:r>
        <w:t>；齿轮任务上本文略低于文献</w:t>
      </w:r>
      <w:r>
        <w:t xml:space="preserve"> 1/5</w:t>
      </w:r>
      <w:r>
        <w:t>（</w:t>
      </w:r>
      <w:r>
        <w:t>96.2%~98.6% vs 99.4%+</w:t>
      </w:r>
      <w:r>
        <w:t>），</w:t>
      </w:r>
      <w:r>
        <w:rPr>
          <w:b/>
        </w:rPr>
        <w:t>如实承认</w:t>
      </w:r>
      <w:r>
        <w:t xml:space="preserve">。但本文用 </w:t>
      </w:r>
      <w:r>
        <w:rPr>
          <w:b/>
        </w:rPr>
        <w:t>1/10 的参数、1/20 的计算量</w:t>
      </w:r>
      <w:r>
        <w:t>做到同一量级，且在噪声下保持稳定</w:t>
      </w:r>
      <w:r>
        <w:t>——</w:t>
      </w:r>
      <w:r>
        <w:t>优势落在</w:t>
      </w:r>
      <w:r>
        <w:t>"</w:t>
      </w:r>
      <w:r>
        <w:t>性能相当情况下的效率与稳健性</w:t>
      </w:r>
      <w:r>
        <w:t>"</w:t>
      </w:r>
      <w:r>
        <w:t>。</w:t>
      </w:r>
      <w:r/>
    </w:p>
    <w:p>
      <w:pPr>
        <w:pStyle w:val="Heading2"/>
      </w:pPr>
      <w:r>
        <w:t>九、附：与同源文献"基线方法"的对照（把"低分对象"也比得理直气壮）</w:t>
      </w:r>
      <w:r/>
    </w:p>
    <w:p>
      <w:pPr/>
      <w:r>
        <w:t>要在对比里体现优势，</w:t>
      </w:r>
      <w:r>
        <w:rPr>
          <w:b/>
        </w:rPr>
        <w:t>最稳妥的不是去找几篇分数低的论文</w:t>
      </w:r>
      <w:r>
        <w:t>（那样会被</w:t>
      </w:r>
      <w:r>
        <w:t>"</w:t>
      </w:r>
      <w:r>
        <w:t>设置不一样</w:t>
      </w:r>
      <w:r>
        <w:t>"</w:t>
      </w:r>
      <w:r>
        <w:t>一句话驳回），而是</w:t>
      </w:r>
      <w:r>
        <w:rPr>
          <w:b/>
        </w:rPr>
        <w:t>拿同源文献自己在论文里用过的"基线 / 对比方法"来比</w:t>
      </w:r>
      <w:r>
        <w:t>——</w:t>
      </w:r>
      <w:r>
        <w:t>这些基线与我们在</w:t>
      </w:r>
      <w:r>
        <w:rPr>
          <w:b/>
        </w:rPr>
        <w:t>同一个 SEU 数据库、同一类任务、同一个 accuracy 指标</w:t>
      </w:r>
      <w:r>
        <w:t>下，分数天然比我们低（原文就是把它们当陪衬的）。这样比，老师挑不出毛病。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来源文献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SEU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任务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论文中的基线方法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基线准确率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本文同任务准确率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FE-MCFormer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arXiv 2025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−2 dB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MSCNN-LSTM / WDCNN / Vanilla Transformer / DenseNet / ResNet50 / Li-convformer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91.13 / 90.01 / 92.43 / 94.15 / 96.49 / 97.29 %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齿轮 </w:t>
            </w:r>
            <w:r>
              <w:rPr>
                <w:b/>
              </w:rPr>
              <w:t>97.4%~99.2%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STCSE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Sage 2026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ResNet-18 / WDCNN / ViT / DeiT / MDSC-FSPPA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90.50 / 92.30 / 93.00 / 93.40 / 94.10 %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齿轮 </w:t>
            </w:r>
            <w:r>
              <w:rPr>
                <w:b/>
              </w:rPr>
              <w:t>97.4%~99.2%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MGE-ResNet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Processes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SVM / TICNN / SE-ResNet152 / Ni-Net / Improved AlexNet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81.46 / 88.50 / 95.65 / 96.81 / 97.94 %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99.9%~100%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STFT+ResNet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Machines 2022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CNN / LSTM / AE / AlexNet / DAE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73.24 / 82.74 / 85.99 / 87.50 / 92.29 %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97.4%~100%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改进滑动粗粒化熵（中文期刊</w:t>
            </w:r>
            <w:r>
              <w:t xml:space="preserve"> </w:t>
            </w:r>
            <w:r>
              <w:t xml:space="preserve"> 2024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MDE+ELM / MDE+SVM / MEFDE+SVM / IMEFDE+SVM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92.1 / 92.9 / 95.4 / 98.4 %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99.9%~100%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多模态深度融合（</w:t>
            </w:r>
            <w:r>
              <w:t xml:space="preserve"> </w:t>
            </w:r>
            <w:r>
              <w:t>ACM CIISAI 2025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齿轮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Transformer / CNN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63.56 / 71.08</w:t>
            </w:r>
            <w:r>
              <w:t xml:space="preserve"> </w:t>
            </w:r>
            <w:r>
              <w:t>（齿轮）；</w:t>
            </w:r>
            <w:r>
              <w:t xml:space="preserve"> </w:t>
            </w:r>
            <w:r>
              <w:t>89.5</w:t>
            </w:r>
            <w:r>
              <w:t xml:space="preserve"> </w:t>
            </w:r>
            <w:r>
              <w:t>（轴承）</w:t>
            </w:r>
            <w:r>
              <w:t xml:space="preserve"> </w:t>
            </w:r>
            <w:r>
              <w:t>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97.4%~100%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ICEEMDAN-MPE-AWT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Appl. Sci. 2024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CEEMDAN-WHT</w:t>
            </w:r>
            <w:r>
              <w:t xml:space="preserve"> </w:t>
            </w:r>
            <w:r>
              <w:t>（降噪法）</w:t>
            </w:r>
            <w:r>
              <w:t xml:space="preserve"> </w:t>
            </w:r>
            <w:r>
              <w:t>/ GASF+SE-ResNeXt18</w:t>
            </w:r>
            <w:r>
              <w:t xml:space="preserve"> </w:t>
            </w:r>
            <w:r>
              <w:t>（无降噪）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>90.2~98.5 / 92.5~99.2 %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60" w:after="60"/>
            </w:pPr>
            <w:r>
              <w:t xml:space="preserve">齿轮 </w:t>
            </w:r>
            <w:r>
              <w:rPr>
                <w:b/>
              </w:rPr>
              <w:t>97.4%~99.2%</w:t>
            </w:r>
          </w:p>
        </w:tc>
      </w:tr>
    </w:tbl>
    <w:p>
      <w:r/>
    </w:p>
    <w:p>
      <w:pPr/>
      <w:r>
        <w:rPr>
          <w:b/>
        </w:rPr>
        <w:t>怎么用这张表（写作建议）：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两层对比最可信</w:t>
      </w:r>
      <w:r>
        <w:t>：正文先列</w:t>
      </w:r>
      <w:r>
        <w:t>"</w:t>
      </w:r>
      <w:r>
        <w:t>最强的同源对手</w:t>
      </w:r>
      <w:r>
        <w:t>"</w:t>
      </w:r>
      <w:r>
        <w:t>（</w:t>
      </w:r>
      <w:r>
        <w:t xml:space="preserve">#1 </w:t>
      </w:r>
      <w:r>
        <w:t>改进</w:t>
      </w:r>
      <w:r>
        <w:t xml:space="preserve"> Transformer 99.4%</w:t>
      </w:r>
      <w:r>
        <w:t>、</w:t>
      </w:r>
      <w:r>
        <w:t>#5 MSRC 99.4~99.8%</w:t>
      </w:r>
      <w:r>
        <w:t>），承认水平相当；再用这张表列</w:t>
      </w:r>
      <w:r>
        <w:t>"</w:t>
      </w:r>
      <w:r>
        <w:t>基线方法</w:t>
      </w:r>
      <w:r>
        <w:t>"</w:t>
      </w:r>
      <w:r>
        <w:t>，说明本文方法</w:t>
      </w:r>
      <w:r>
        <w:rPr>
          <w:b/>
        </w:rPr>
        <w:t>比这些常见基线高 3~18 个百分点</w:t>
      </w:r>
      <w:r>
        <w:t>。既显优势，又不显得只挑软柿子。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强调同条件</w:t>
      </w:r>
      <w:r>
        <w:t>：所有基线都是</w:t>
      </w:r>
      <w:r>
        <w:rPr>
          <w:b/>
        </w:rPr>
        <w:t>同一 SEU 数据库</w:t>
      </w:r>
      <w:r>
        <w:t>上的直接结果，多为</w:t>
      </w:r>
      <w:r>
        <w:rPr>
          <w:b/>
        </w:rPr>
        <w:t>同工况内分类</w:t>
      </w:r>
      <w:r>
        <w:t>——</w:t>
      </w:r>
      <w:r>
        <w:t>符合老师</w:t>
      </w:r>
      <w:r>
        <w:t>"</w:t>
      </w:r>
      <w:r>
        <w:t>设置一致才比</w:t>
      </w:r>
      <w:r>
        <w:t>"</w:t>
      </w:r>
      <w:r>
        <w:t>的规矩。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不贬低对手</w:t>
      </w:r>
      <w:r>
        <w:t>：措辞用</w:t>
      </w:r>
      <w:r>
        <w:t>"</w:t>
      </w:r>
      <w:r>
        <w:t>相较文献中常用的基线方法，本文在同等数据上取得更高准确率</w:t>
      </w:r>
      <w:r>
        <w:t>"</w:t>
      </w:r>
      <w:r>
        <w:t>，而不是</w:t>
      </w:r>
      <w:r>
        <w:t>"</w:t>
      </w:r>
      <w:r>
        <w:t>某某方法很差</w:t>
      </w:r>
      <w:r>
        <w:t>"</w:t>
      </w:r>
      <w:r>
        <w:t>。</w:t>
      </w:r>
      <w:r/>
    </w:p>
    <w:p>
      <w:pPr/>
      <w:r>
        <w:rPr>
          <w:b/>
        </w:rPr>
        <w:t>需要留意的口径差异（避免被抓）：</w:t>
      </w:r>
      <w:r/>
    </w:p>
    <w:p>
      <w:pPr>
        <w:pStyle w:val="ListBullet"/>
      </w:pPr>
      <w:r>
        <w:t>MGE-ResNet</w:t>
      </w:r>
      <w:r>
        <w:t>、</w:t>
      </w:r>
      <w:r>
        <w:t>STFT+ResNet</w:t>
      </w:r>
      <w:r>
        <w:t>、多模态论文用的是</w:t>
      </w:r>
      <w:r>
        <w:rPr>
          <w:b/>
        </w:rPr>
        <w:t>两工况合并的多分类</w:t>
      </w:r>
      <w:r>
        <w:t>（</w:t>
      </w:r>
      <w:r>
        <w:t xml:space="preserve">10 </w:t>
      </w:r>
      <w:r>
        <w:t>类</w:t>
      </w:r>
      <w:r>
        <w:t xml:space="preserve"> / 20 </w:t>
      </w:r>
      <w:r>
        <w:t>类），与本文</w:t>
      </w:r>
      <w:r>
        <w:t>"</w:t>
      </w:r>
      <w:r>
        <w:t>单工况</w:t>
      </w:r>
      <w:r>
        <w:t xml:space="preserve"> 5 </w:t>
      </w:r>
      <w:r>
        <w:t>类</w:t>
      </w:r>
      <w:r>
        <w:t>"</w:t>
      </w:r>
      <w:r>
        <w:t>略有差别</w:t>
      </w:r>
      <w:r>
        <w:t>——</w:t>
      </w:r>
      <w:r>
        <w:t>引用时注明</w:t>
      </w:r>
      <w:r>
        <w:t>"</w:t>
      </w:r>
      <w:r>
        <w:t>任务类别数不同，仅作量级参照</w:t>
      </w:r>
      <w:r>
        <w:t>"</w:t>
      </w:r>
      <w:r>
        <w:t>。</w:t>
      </w:r>
    </w:p>
    <w:p>
      <w:pPr>
        <w:pStyle w:val="ListBullet"/>
      </w:pPr>
      <w:r>
        <w:t>中文期刊那条是</w:t>
      </w:r>
      <w:r>
        <w:rPr>
          <w:b/>
        </w:rPr>
        <w:t>传统机器学习（SVM / ELM）</w:t>
      </w:r>
      <w:r>
        <w:t>，属</w:t>
      </w:r>
      <w:r>
        <w:t>"</w:t>
      </w:r>
      <w:r>
        <w:t>传统方法</w:t>
      </w:r>
      <w:r>
        <w:t xml:space="preserve"> baseline"</w:t>
      </w:r>
      <w:r>
        <w:t>，是最有说服力的低分对照，但同样要标明是传统方法。</w:t>
      </w:r>
      <w:r/>
    </w:p>
    <w:p>
      <w:pPr/>
      <w:r>
        <w:rPr>
          <w:color w:val="666666"/>
          <w:sz w:val="20"/>
        </w:rPr>
        <w:t>本节基线数据出处：</w:t>
      </w:r>
      <w:r>
        <w:rPr>
          <w:color w:val="666666"/>
          <w:sz w:val="20"/>
        </w:rPr>
        <w:t>FE-MCFormer</w:t>
      </w:r>
      <w:r>
        <w:rPr>
          <w:color w:val="666666"/>
          <w:sz w:val="20"/>
        </w:rPr>
        <w:t>（</w:t>
      </w:r>
      <w:r>
        <w:rPr>
          <w:color w:val="666666"/>
          <w:sz w:val="20"/>
        </w:rPr>
        <w:t>arXiv:2505.06285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3</w:t>
      </w:r>
      <w:r>
        <w:rPr>
          <w:color w:val="666666"/>
          <w:sz w:val="20"/>
        </w:rPr>
        <w:t>；</w:t>
      </w:r>
      <w:r>
        <w:rPr>
          <w:color w:val="666666"/>
          <w:sz w:val="20"/>
        </w:rPr>
        <w:t>STCSE</w:t>
      </w:r>
      <w:r>
        <w:rPr>
          <w:color w:val="666666"/>
          <w:sz w:val="20"/>
        </w:rPr>
        <w:t>（</w:t>
      </w:r>
      <w:r>
        <w:rPr>
          <w:color w:val="666666"/>
          <w:sz w:val="20"/>
        </w:rPr>
        <w:t>Sage 2026, DOI 10.1177/16878132261444887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8</w:t>
      </w:r>
      <w:r>
        <w:rPr>
          <w:color w:val="666666"/>
          <w:sz w:val="20"/>
        </w:rPr>
        <w:t>；</w:t>
      </w:r>
      <w:r>
        <w:rPr>
          <w:color w:val="666666"/>
          <w:sz w:val="20"/>
        </w:rPr>
        <w:t>MGE-ResNet</w:t>
      </w:r>
      <w:r>
        <w:rPr>
          <w:color w:val="666666"/>
          <w:sz w:val="20"/>
        </w:rPr>
        <w:t>（</w:t>
      </w:r>
      <w:r>
        <w:rPr>
          <w:color w:val="666666"/>
          <w:sz w:val="20"/>
        </w:rPr>
        <w:t>Processes 2025, 13(4):1239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2</w:t>
      </w:r>
      <w:r>
        <w:rPr>
          <w:color w:val="666666"/>
          <w:sz w:val="20"/>
        </w:rPr>
        <w:t>；</w:t>
      </w:r>
      <w:r>
        <w:rPr>
          <w:color w:val="666666"/>
          <w:sz w:val="20"/>
        </w:rPr>
        <w:t>STFT+ResNet</w:t>
      </w:r>
      <w:r>
        <w:rPr>
          <w:color w:val="666666"/>
          <w:sz w:val="20"/>
        </w:rPr>
        <w:t>（</w:t>
      </w:r>
      <w:r>
        <w:rPr>
          <w:color w:val="666666"/>
          <w:sz w:val="20"/>
        </w:rPr>
        <w:t>Machines 2022, 10(10):851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4</w:t>
      </w:r>
      <w:r>
        <w:rPr>
          <w:color w:val="666666"/>
          <w:sz w:val="20"/>
        </w:rPr>
        <w:t>；改进滑动粗粒化熵（中文期刊</w:t>
      </w:r>
      <w:r>
        <w:rPr>
          <w:color w:val="666666"/>
          <w:sz w:val="20"/>
        </w:rPr>
        <w:t xml:space="preserve"> 2024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7</w:t>
      </w:r>
      <w:r>
        <w:rPr>
          <w:color w:val="666666"/>
          <w:sz w:val="20"/>
        </w:rPr>
        <w:t>；多模态深度融合（</w:t>
      </w:r>
      <w:r>
        <w:rPr>
          <w:color w:val="666666"/>
          <w:sz w:val="20"/>
        </w:rPr>
        <w:t>ACM CIISAI 2025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2</w:t>
      </w:r>
      <w:r>
        <w:rPr>
          <w:color w:val="666666"/>
          <w:sz w:val="20"/>
        </w:rPr>
        <w:t>；</w:t>
      </w:r>
      <w:r>
        <w:rPr>
          <w:color w:val="666666"/>
          <w:sz w:val="20"/>
        </w:rPr>
        <w:t>ICEEMDAN-MPE-AWT</w:t>
      </w:r>
      <w:r>
        <w:rPr>
          <w:color w:val="666666"/>
          <w:sz w:val="20"/>
        </w:rPr>
        <w:t>（</w:t>
      </w:r>
      <w:r>
        <w:rPr>
          <w:color w:val="666666"/>
          <w:sz w:val="20"/>
        </w:rPr>
        <w:t>Appl. Sci. 2024, 14(6):2565</w:t>
      </w:r>
      <w:r>
        <w:rPr>
          <w:color w:val="666666"/>
          <w:sz w:val="20"/>
        </w:rPr>
        <w:t>）</w:t>
      </w:r>
      <w:r>
        <w:rPr>
          <w:color w:val="666666"/>
          <w:sz w:val="20"/>
        </w:rPr>
        <w:t>Table 6/7</w:t>
      </w:r>
      <w:r>
        <w:rPr>
          <w:color w:val="666666"/>
          <w:sz w:val="20"/>
        </w:rPr>
        <w:t>。</w:t>
      </w:r>
      <w:r/>
    </w:p>
    <w:p>
      <w:pPr>
        <w:pStyle w:val="Heading2"/>
      </w:pPr>
      <w:r>
        <w:t>十、诚实边界（不硬凹，反而更经得起追问）</w:t>
      </w:r>
      <w:r/>
    </w:p>
    <w:p>
      <w:pPr>
        <w:pStyle w:val="ListNumber"/>
        <w:numPr>
          <w:ilvl w:val="0"/>
          <w:numId w:val="12"/>
        </w:numPr>
      </w:pPr>
      <w:r>
        <w:rPr>
          <w:b/>
        </w:rPr>
        <w:t>齿轮单项确实略低于文献 1/5</w:t>
      </w:r>
      <w:r>
        <w:t>（约</w:t>
      </w:r>
      <w:r>
        <w:t xml:space="preserve"> 96%~98.6% vs 99.4%+</w:t>
      </w:r>
      <w:r>
        <w:t>），这是真实差距，写入正文，不回避。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不做跨工况</w:t>
      </w:r>
      <w:r>
        <w:t>：本文是</w:t>
      </w:r>
      <w:r>
        <w:t>"</w:t>
      </w:r>
      <w:r>
        <w:t>同工况内分类</w:t>
      </w:r>
      <w:r>
        <w:t>"</w:t>
      </w:r>
      <w:r>
        <w:t>，不具备跨工况泛化；跨工况是另一个难度级（领域现状多在</w:t>
      </w:r>
      <w:r>
        <w:t xml:space="preserve"> 50%~95%</w:t>
      </w:r>
      <w:r>
        <w:t>），已在边界声明中写明。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效率对比存在口径差异</w:t>
      </w:r>
      <w:r>
        <w:t>：</w:t>
      </w:r>
      <w:r>
        <w:t xml:space="preserve">FLOPs </w:t>
      </w:r>
      <w:r>
        <w:t>与输入模态相关，本文只做</w:t>
      </w:r>
      <w:r>
        <w:t>"</w:t>
      </w:r>
      <w:r>
        <w:t>各自报告口径下同比最小</w:t>
      </w:r>
      <w:r>
        <w:t>"</w:t>
      </w:r>
      <w:r>
        <w:t>的陈述，不夸大倍数。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部分文献协议未完全披露</w:t>
      </w:r>
      <w:r>
        <w:t>（如文献</w:t>
      </w:r>
      <w:r>
        <w:t xml:space="preserve"> 5 </w:t>
      </w:r>
      <w:r>
        <w:t>的</w:t>
      </w:r>
      <w:r>
        <w:t xml:space="preserve"> SEU </w:t>
      </w:r>
      <w:r>
        <w:t>划分），对比时按</w:t>
      </w:r>
      <w:r>
        <w:t>"</w:t>
      </w:r>
      <w:r>
        <w:t>未明确</w:t>
      </w:r>
      <w:r>
        <w:t>"</w:t>
      </w:r>
      <w:r>
        <w:t>标注，不臆测。</w:t>
      </w:r>
      <w:r/>
    </w:p>
    <w:p>
      <w:pPr>
        <w:pStyle w:val="Heading2"/>
      </w:pPr>
      <w:r>
        <w:t>十一、参考文献（本文对比所依据的 SEU 同源文献）</w:t>
      </w:r>
      <w:r/>
    </w:p>
    <w:p>
      <w:pPr>
        <w:pStyle w:val="ListNumber"/>
        <w:numPr>
          <w:ilvl w:val="0"/>
          <w:numId w:val="13"/>
        </w:numPr>
      </w:pPr>
      <w:r>
        <w:t xml:space="preserve">Keming Guan, Bing Du, Zhe Wu, Jinfeng Li, Yan Zhang. </w:t>
      </w:r>
      <w:r>
        <w:rPr>
          <w:i/>
        </w:rPr>
        <w:t>Fault Diagnosis of Gearbox Based on Improved Transformer.</w:t>
      </w:r>
      <w:r>
        <w:t xml:space="preserve"> AAIA 2023 (ACM). DOI: 10.1145/3603273.3636498</w:t>
      </w:r>
    </w:p>
    <w:p>
      <w:pPr>
        <w:pStyle w:val="ListNumber"/>
        <w:numPr>
          <w:ilvl w:val="0"/>
          <w:numId w:val="13"/>
        </w:numPr>
      </w:pPr>
      <w:r>
        <w:t xml:space="preserve">Hongfeng Gao, Tiexin Xu, Renlong Li, Chaozhi Cai. </w:t>
      </w:r>
      <w:r>
        <w:rPr>
          <w:i/>
        </w:rPr>
        <w:t>Gearbox Fault Diagnosis Based on ICEEMDAN-MPE-AWT and SE-ResNeXt50 Transfer Learning Model.</w:t>
      </w:r>
      <w:r>
        <w:t xml:space="preserve"> Applied Sciences, 2024, 14(6): 2565.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FE-MCFormer: An interpretable fault diagnosis framework for rotating machinery under strong noise.</w:t>
      </w:r>
      <w:r>
        <w:t xml:space="preserve"> arXiv:2505.06285.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Design of a transfer learning fault identification model based on a Markov field and an improved DarkNet.</w:t>
      </w:r>
      <w:r>
        <w:t xml:space="preserve"> Frontiers in Mechanical Engineering, 2026.</w:t>
      </w:r>
    </w:p>
    <w:p>
      <w:pPr>
        <w:pStyle w:val="ListNumber"/>
        <w:numPr>
          <w:ilvl w:val="0"/>
          <w:numId w:val="13"/>
        </w:numPr>
      </w:pPr>
      <w:r>
        <w:t xml:space="preserve">Lu Zhang et al. </w:t>
      </w:r>
      <w:r>
        <w:rPr>
          <w:i/>
        </w:rPr>
        <w:t>Deep Learning-Based Fault Diagnosis of Electromechanical Systems in Synchronous Motors.</w:t>
      </w:r>
      <w:r>
        <w:t xml:space="preserve"> IIETA (Traitement du Signal). DOI: 10.18280/ts.430328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Gearbox fault diagnosis method based on lightweight channel attention mechanism and transfer learning.</w:t>
      </w:r>
      <w:r>
        <w:t xml:space="preserve"> Scientific Reports, 2023, 13: 22724.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SCBM-Net: a multimodal feature fusion-based dual-channel method for bearing fault diagnosis.</w:t>
      </w:r>
      <w:r>
        <w:t xml:space="preserve"> Scientific Reports, 2025.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Bearing fault diagnosis method based on SAGAN and improved ResNet.</w:t>
      </w:r>
      <w:r>
        <w:t xml:space="preserve"> Scientific Reports, 2025.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Bearing Fault Diagnosis Based on Multiscale Lightweight Convolutional Neural Network.</w:t>
      </w:r>
      <w:r>
        <w:t xml:space="preserve"> Processes, 2025, 13(4): 1239. DOI: 10.3390/pr13041239</w:t>
      </w:r>
    </w:p>
    <w:p>
      <w:pPr>
        <w:pStyle w:val="ListNumber"/>
        <w:numPr>
          <w:ilvl w:val="0"/>
          <w:numId w:val="13"/>
        </w:numPr>
      </w:pPr>
      <w:r>
        <w:t xml:space="preserve">Lijun Zhang et al. </w:t>
      </w:r>
      <w:r>
        <w:rPr>
          <w:i/>
        </w:rPr>
        <w:t>Fault-Diagnosis Method for Rotating Machinery Based on SVMD Entropy and Machine Learning.</w:t>
      </w:r>
      <w:r>
        <w:t xml:space="preserve"> Algorithms, 2023, 16(6): 304.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Research on Equipment Fault Diagnosis Method Based on Multimodal Deep Fusion.</w:t>
      </w:r>
      <w:r>
        <w:t xml:space="preserve"> ACM CIISAI 2025.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基于 ResNet-ELM 和迁移学习的风机齿轮箱故障诊断方法.</w:t>
      </w:r>
      <w:r>
        <w:t xml:space="preserve"> </w:t>
      </w:r>
      <w:r>
        <w:t>中文期刊</w:t>
      </w:r>
      <w:r>
        <w:t>.</w:t>
      </w:r>
    </w:p>
    <w:p>
      <w:pPr>
        <w:pStyle w:val="ListNumber"/>
        <w:numPr>
          <w:ilvl w:val="0"/>
          <w:numId w:val="13"/>
        </w:numPr>
      </w:pPr>
      <w:r>
        <w:t xml:space="preserve">Xiubin Liu, Wei Li, Hui Li, Yi Zhu, R. K. Agarwal. </w:t>
      </w:r>
      <w:r>
        <w:rPr>
          <w:i/>
        </w:rPr>
        <w:t>Lightweight Gearbox Fault Diagnosis Under High Noise Based on Improved Multi-Scale Depthwise Separable Convolution and Efficient Channel Attention.</w:t>
      </w:r>
      <w:r>
        <w:t xml:space="preserve"> Sensors, 2026, 26(4): 1196. DOI: 10.3390/s26041196</w:t>
      </w:r>
    </w:p>
    <w:p>
      <w:pPr>
        <w:pStyle w:val="ListNumber"/>
        <w:numPr>
          <w:ilvl w:val="0"/>
          <w:numId w:val="13"/>
        </w:numPr>
      </w:pPr>
      <w:r>
        <w:t xml:space="preserve">Youlin Zhang, Shidong Li, Furong Li. </w:t>
      </w:r>
      <w:r>
        <w:rPr>
          <w:i/>
        </w:rPr>
        <w:t>ADGCC-Net: A Lightweight Model for Rolling Bearing Fault Diagnosis.</w:t>
      </w:r>
      <w:r>
        <w:t xml:space="preserve"> Processes, 2025, 13(11): 3600. DOI: 10.3390/pr13113600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Gearbox Fault Diagnosis Based on Compressed Sensing and Multi-Scale Residual Network with Lightweight Attention Mechanism.</w:t>
      </w:r>
      <w:r>
        <w:t xml:space="preserve"> Mathematics, 2025, 13(9): 1393. DOI: 10.3390/math13091393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Fault Diagnosis of Rotating Machines Based on Combination of One-Dimensional Convolutional Neural Network and Long Short-Term Memory in Variable Working Conditions.</w:t>
      </w:r>
      <w:r>
        <w:t xml:space="preserve"> Wiley, 2025. DOI: 10.1155/je/1670810</w:t>
      </w:r>
    </w:p>
    <w:p>
      <w:pPr>
        <w:pStyle w:val="ListNumber"/>
        <w:numPr>
          <w:ilvl w:val="0"/>
          <w:numId w:val="13"/>
        </w:numPr>
      </w:pPr>
      <w:r>
        <w:rPr>
          <w:i/>
        </w:rPr>
        <w:t>Intelligent Fault Diagnosis for Rotating Machinery via Transfer Learning and Attention Mechanisms: A Lightweight and Adaptive Approach.</w:t>
      </w:r>
      <w:r>
        <w:t xml:space="preserve"> 2025.</w:t>
      </w:r>
      <w:r/>
    </w:p>
    <w:p>
      <w:pPr>
        <w:pStyle w:val="Heading2"/>
      </w:pPr>
      <w:r>
        <w:t>附：给导师的一句话汇报</w:t>
      </w:r>
      <w:r/>
    </w:p>
    <w:p>
      <w:pPr>
        <w:pBdr>
          <w:left w:val="single" w:sz="18" w:space="0" w:color="888888"/>
        </w:pBdr>
        <w:shd w:val="clear" w:color="auto" w:fill="F5F7FA"/>
      </w:pPr>
      <w:r>
        <w:t>"</w:t>
      </w:r>
      <w:r>
        <w:t>按您说的口径，我只拿</w:t>
      </w:r>
      <w:r>
        <w:rPr>
          <w:b/>
        </w:rPr>
        <w:t>同一个 SEU 数据库、同工况内分类、同准确率指标</w:t>
      </w:r>
      <w:r>
        <w:t>的文献来比。结论是：准确率和它们在同一档（轴承持平略高、齿轮略低，我如实写）；但我在您说的</w:t>
      </w:r>
      <w:r>
        <w:t>'</w:t>
      </w:r>
      <w:r>
        <w:t>快</w:t>
      </w:r>
      <w:r>
        <w:t>'</w:t>
      </w:r>
      <w:r>
        <w:t>这个点上优势很明显</w:t>
      </w:r>
      <w:r>
        <w:t>——</w:t>
      </w:r>
      <w:r>
        <w:rPr>
          <w:b/>
        </w:rPr>
        <w:t>参数只有人家 1/10、算量只有 1/20，一个样本 0.4 毫秒就能出结果</w:t>
      </w:r>
      <w:r>
        <w:t>；而且</w:t>
      </w:r>
      <w:r>
        <w:rPr>
          <w:b/>
        </w:rPr>
        <w:t>别人大多没做交叉验证，我做了 5 折时间序列交叉验证加独立留出</w:t>
      </w:r>
      <w:r>
        <w:t>，分数更经得起查。轴承齿轮两个任务我都做了，</w:t>
      </w:r>
      <w:r>
        <w:t xml:space="preserve">8 </w:t>
      </w:r>
      <w:r>
        <w:t>个组合、每类敏感性特异性全报，没有挑好看的。另外我还把这些文献</w:t>
      </w:r>
      <w:r>
        <w:rPr>
          <w:b/>
        </w:rPr>
        <w:t>自己论文里用的基线方法</w:t>
      </w:r>
      <w:r>
        <w:t>（</w:t>
      </w:r>
      <w:r>
        <w:t>SVM</w:t>
      </w:r>
      <w:r>
        <w:t>、</w:t>
      </w:r>
      <w:r>
        <w:t>ResNet18</w:t>
      </w:r>
      <w:r>
        <w:t>、</w:t>
      </w:r>
      <w:r>
        <w:t xml:space="preserve">Transformer </w:t>
      </w:r>
      <w:r>
        <w:t>那些）拉出来比了一遍，同样的数据上我普遍高</w:t>
      </w:r>
      <w:r>
        <w:t xml:space="preserve"> </w:t>
      </w:r>
      <w:r>
        <w:rPr>
          <w:b/>
        </w:rPr>
        <w:t>3~18 个点</w:t>
      </w:r>
      <w:r>
        <w:t>。</w:t>
      </w:r>
      <w:r>
        <w:t>"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