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/>
        <w:jc w:val="center"/>
      </w:pPr>
      <w:r>
        <w:rPr>
          <w:rFonts w:ascii="宋体" w:hAnsi="宋体" w:eastAsia="宋体" w:cs="宋体" w:hint="eastAsia"/>
          <w:b/>
          <w:sz w:val="36"/>
          <w:lang w:eastAsia="zh-CN"/>
        </w:rPr>
        <w:t>同源文献可对比条目对照表</w:t>
      </w:r>
    </w:p>
    <w:p>
      <w:pPr>
        <w:spacing w:after="192"/>
        <w:ind w:firstLine="0"/>
        <w:jc w:val="center"/>
      </w:pPr>
      <w:r>
        <w:rPr>
          <w:rFonts w:ascii="宋体" w:hAnsi="宋体"/>
          <w:sz w:val="24"/>
        </w:rPr>
        <w:t>——</w:t>
      </w:r>
      <w:r>
        <w:rPr>
          <w:rFonts w:ascii="宋体" w:hAnsi="宋体" w:eastAsia="宋体" w:cs="宋体" w:hint="eastAsia"/>
          <w:sz w:val="24"/>
          <w:lang w:eastAsia="zh-CN"/>
        </w:rPr>
        <w:t>基于</w:t>
      </w:r>
      <w:r>
        <w:rPr>
          <w:rFonts w:ascii="宋体" w:hAnsi="宋体"/>
          <w:sz w:val="24"/>
        </w:rPr>
        <w:t xml:space="preserve"> SEU DDS </w:t>
      </w:r>
      <w:r>
        <w:rPr>
          <w:rFonts w:ascii="宋体" w:hAnsi="宋体" w:eastAsia="宋体" w:cs="宋体" w:hint="eastAsia"/>
          <w:sz w:val="24"/>
          <w:lang w:eastAsia="zh-CN"/>
        </w:rPr>
        <w:t>数据集的单工况</w:t>
      </w:r>
      <w:r>
        <w:rPr>
          <w:rFonts w:ascii="宋体" w:hAnsi="宋体"/>
          <w:sz w:val="24"/>
        </w:rPr>
        <w:t xml:space="preserve"> 5 </w:t>
      </w:r>
      <w:r>
        <w:rPr>
          <w:rFonts w:ascii="宋体" w:hAnsi="宋体" w:eastAsia="宋体" w:cs="宋体" w:hint="eastAsia"/>
          <w:sz w:val="24"/>
          <w:lang w:eastAsia="zh-CN"/>
        </w:rPr>
        <w:t>分类任务</w:t>
      </w:r>
    </w:p>
    <w:p>
      <w:pPr>
        <w:spacing w:after="315"/>
        <w:ind w:firstLine="0"/>
        <w:jc w:val="center"/>
      </w:pPr>
      <w:r>
        <w:rPr>
          <w:rFonts w:ascii="宋体" w:hAnsi="宋体" w:eastAsia="宋体" w:cs="宋体" w:hint="eastAsia"/>
          <w:sz w:val="21"/>
          <w:lang w:eastAsia="zh-CN"/>
        </w:rPr>
        <w:t>编制日期：</w:t>
      </w:r>
      <w:r>
        <w:rPr>
          <w:rFonts w:ascii="宋体" w:hAnsi="宋体"/>
          <w:sz w:val="21"/>
        </w:rPr>
        <w:t xml:space="preserve">2026 </w:t>
      </w:r>
      <w:r>
        <w:rPr>
          <w:rFonts w:ascii="宋体" w:hAnsi="宋体" w:eastAsia="宋体" w:cs="宋体" w:hint="eastAsia"/>
          <w:sz w:val="21"/>
          <w:lang w:eastAsia="zh-CN"/>
        </w:rPr>
        <w:t>年</w:t>
      </w:r>
      <w:r>
        <w:rPr>
          <w:rFonts w:ascii="宋体" w:hAnsi="宋体"/>
          <w:sz w:val="21"/>
        </w:rPr>
        <w:t xml:space="preserve"> 10 </w:t>
      </w:r>
      <w:r>
        <w:rPr>
          <w:rFonts w:ascii="宋体" w:hAnsi="宋体" w:eastAsia="宋体" w:cs="宋体" w:hint="eastAsia"/>
          <w:sz w:val="21"/>
          <w:lang w:eastAsia="zh-CN"/>
        </w:rPr>
        <w:t>月</w:t>
      </w:r>
      <w:r>
        <w:rPr>
          <w:rFonts w:ascii="宋体" w:hAnsi="宋体"/>
          <w:sz w:val="21"/>
        </w:rPr>
        <w:t xml:space="preserve"> 1 </w:t>
      </w:r>
      <w:r>
        <w:rPr>
          <w:rFonts w:ascii="宋体" w:hAnsi="宋体" w:eastAsia="宋体" w:cs="宋体" w:hint="eastAsia"/>
          <w:sz w:val="21"/>
          <w:lang w:eastAsia="zh-CN"/>
        </w:rPr>
        <w:t>日</w:t>
      </w:r>
    </w:p>
    <w:p>
      <w:pPr>
        <w:spacing w:line="300" w:lineRule="auto" w:after="60"/>
        <w:ind w:firstLine="0"/>
        <w:jc w:val="both"/>
      </w:pPr>
      <w:r>
        <w:rPr>
          <w:rFonts w:ascii="宋体" w:hAnsi="宋体" w:eastAsia="宋体" w:cs="宋体" w:hint="eastAsia"/>
          <w:b/>
          <w:lang w:eastAsia="zh-CN"/>
        </w:rPr>
        <w:t>文档说明</w:t>
      </w:r>
    </w:p>
    <w:p>
      <w:pPr>
        <w:spacing w:line="300" w:lineRule="auto" w:after="55"/>
        <w:ind w:firstLine="660"/>
        <w:jc w:val="both"/>
      </w:pPr>
      <w:r>
        <w:rPr>
          <w:rFonts w:ascii="宋体" w:eastAsia="宋体" w:hAnsi="宋体" w:cs="宋体" w:hint="eastAsia"/>
          <w:sz w:val="22"/>
          <w:lang w:eastAsia="zh-CN"/>
        </w:rPr>
        <w:t>本文档汇总使用东南大学（</w:t>
      </w:r>
      <w:r>
        <w:rPr>
          <w:sz w:val="22"/>
        </w:rPr>
        <w:t>SEU</w:t>
      </w:r>
      <w:r>
        <w:rPr>
          <w:rFonts w:ascii="宋体" w:eastAsia="宋体" w:hAnsi="宋体" w:cs="宋体" w:hint="eastAsia"/>
          <w:sz w:val="22"/>
          <w:lang w:eastAsia="zh-CN"/>
        </w:rPr>
        <w:t>）</w:t>
      </w:r>
      <w:r>
        <w:rPr>
          <w:sz w:val="22"/>
        </w:rPr>
        <w:t xml:space="preserve">DDS </w:t>
      </w:r>
      <w:r>
        <w:rPr>
          <w:rFonts w:ascii="宋体" w:eastAsia="宋体" w:hAnsi="宋体" w:cs="宋体" w:hint="eastAsia"/>
          <w:sz w:val="22"/>
          <w:lang w:eastAsia="zh-CN"/>
        </w:rPr>
        <w:t>数据集、且与本文任务结构一致的已发表实验结果，用于论文对比实验部分的引用。全部条目均按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同一数据集、同一任务、同一指标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三条标准筛选，逐行注明其工况、数据划分与验证方式；不满足条件者一律不予纳入，并在第五节列明原因。</w:t>
      </w:r>
    </w:p>
    <w:p>
      <w:pPr>
        <w:spacing w:after="96"/>
        <w:ind w:firstLine="0"/>
        <w:jc w:val="center"/>
      </w:pPr>
      <w:r>
        <w:rPr>
          <w:rFonts w:ascii="宋体" w:hAnsi="宋体" w:eastAsia="宋体" w:cs="宋体" w:hint="eastAsia"/>
          <w:b/>
          <w:sz w:val="24"/>
          <w:lang w:eastAsia="zh-CN"/>
        </w:rPr>
        <w:t>目录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一、对比口径与本文基准结果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二、齿轮箱任务对照表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三、轴承任务对照表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四、引用注意事项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五、不纳入本表的条目及原因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六、文献出处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一、对比口径与本文基准结果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本节先说明本文实验设置，再给出文献筛选标准与本文基准结果，作为后续两张对照表的比较基准。</w:t>
      </w:r>
    </w:p>
    <w:p>
      <w:pPr>
        <w:pStyle w:val="Heading3"/>
        <w:spacing w:line="360" w:lineRule="auto"/>
      </w:pPr>
      <w:r>
        <w:rPr>
          <w:rFonts w:ascii="宋体" w:hAnsi="宋体" w:eastAsia="宋体" w:cs="宋体" w:hint="eastAsia"/>
          <w:b/>
          <w:sz w:val="24"/>
          <w:lang w:eastAsia="zh-CN"/>
        </w:rPr>
        <w:t>（一）本文实验设置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本文在</w:t>
      </w:r>
      <w:r>
        <w:t xml:space="preserve"> SEU DDS </w:t>
      </w:r>
      <w:r>
        <w:rPr>
          <w:rFonts w:ascii="宋体" w:eastAsia="宋体" w:hAnsi="宋体" w:cs="宋体" w:hint="eastAsia"/>
          <w:lang w:eastAsia="zh-CN"/>
        </w:rPr>
        <w:t>数据集上开展齿轮箱与轴承两类任务的故障诊断实验，设置如下：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任务结构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20 Hz-0 V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30 Hz-2 V </w:t>
      </w:r>
      <w:r>
        <w:rPr>
          <w:rFonts w:ascii="宋体" w:eastAsia="宋体" w:hAnsi="宋体" w:cs="宋体" w:hint="eastAsia"/>
          <w:lang w:eastAsia="zh-CN"/>
        </w:rPr>
        <w:t>两个工况各自独立建模，均为单工况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分类（正常</w:t>
      </w:r>
      <w:r>
        <w:t xml:space="preserve"> + 4 </w:t>
      </w:r>
      <w:r>
        <w:rPr>
          <w:rFonts w:ascii="宋体" w:eastAsia="宋体" w:hAnsi="宋体" w:cs="宋体" w:hint="eastAsia"/>
          <w:lang w:eastAsia="zh-CN"/>
        </w:rPr>
        <w:t>类故障）；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数据划分</w:t>
      </w:r>
      <w:r>
        <w:rPr>
          <w:rFonts w:ascii="宋体" w:eastAsia="宋体" w:hAnsi="宋体" w:cs="宋体" w:hint="eastAsia"/>
          <w:lang w:eastAsia="zh-CN"/>
        </w:rPr>
        <w:t>：按时间有序划分为训练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验证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测试</w:t>
      </w:r>
      <w:r/>
      <w:r>
        <w:rPr>
          <w:rFonts w:ascii="宋体" w:eastAsia="宋体" w:hAnsi="宋体" w:cs="宋体" w:hint="eastAsia"/>
          <w:lang w:eastAsia="zh-CN"/>
        </w:rPr>
        <w:t>三段，比例</w:t>
      </w:r>
      <w:r>
        <w:t xml:space="preserve"> 70 : 20 : 10</w:t>
      </w:r>
      <w:r>
        <w:rPr>
          <w:rFonts w:ascii="宋体" w:eastAsia="宋体" w:hAnsi="宋体" w:cs="宋体" w:hint="eastAsia"/>
          <w:lang w:eastAsia="zh-CN"/>
        </w:rPr>
        <w:t>，测试段为密封数据（参数冻结后仅评估一次）；另做一组独立的四段留出复核（训练 65% / 验证 15% / 测试 10% / 留出 10%）；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验证方式</w:t>
      </w:r>
      <w:r>
        <w:rPr>
          <w:rFonts w:ascii="宋体" w:eastAsia="宋体" w:hAnsi="宋体" w:cs="宋体" w:hint="eastAsia"/>
          <w:lang w:eastAsia="zh-CN"/>
        </w:rPr>
        <w:t>：在上述划分之外，另做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折时间序列交叉验证（</w:t>
      </w:r>
      <w:r>
        <w:t>rolling-origin</w:t>
      </w:r>
      <w:r>
        <w:rPr>
          <w:rFonts w:ascii="宋体" w:eastAsia="宋体" w:hAnsi="宋体" w:cs="宋体" w:hint="eastAsia"/>
          <w:lang w:eastAsia="zh-CN"/>
        </w:rPr>
        <w:t>），两套口径互证。</w:t>
      </w:r>
    </w:p>
    <w:p>
      <w:pPr>
        <w:pStyle w:val="Heading3"/>
        <w:spacing w:line="360" w:lineRule="auto"/>
      </w:pPr>
      <w:r>
        <w:rPr>
          <w:rFonts w:ascii="宋体" w:hAnsi="宋体" w:eastAsia="宋体" w:cs="宋体" w:hint="eastAsia"/>
          <w:b/>
          <w:sz w:val="24"/>
          <w:lang w:eastAsia="zh-CN"/>
        </w:rPr>
        <w:t>（二）文献筛选标准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纳入本表的对照条目须同时满足以下三条：</w:t>
      </w:r>
    </w:p>
    <w:p>
      <w:pPr>
        <w:pStyle w:val="ListNumber"/>
        <w:numPr>
          <w:ilvl w:val="0"/>
          <w:numId w:val="10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同一数据集</w:t>
      </w:r>
      <w:r>
        <w:rPr>
          <w:rFonts w:ascii="宋体" w:eastAsia="宋体" w:hAnsi="宋体" w:cs="宋体" w:hint="eastAsia"/>
          <w:lang w:eastAsia="zh-CN"/>
        </w:rPr>
        <w:t>：使用</w:t>
      </w:r>
      <w:r>
        <w:t xml:space="preserve"> SEU DDS </w:t>
      </w:r>
      <w:r>
        <w:rPr>
          <w:rFonts w:ascii="宋体" w:eastAsia="宋体" w:hAnsi="宋体" w:cs="宋体" w:hint="eastAsia"/>
          <w:lang w:eastAsia="zh-CN"/>
        </w:rPr>
        <w:t>数据集；</w:t>
      </w:r>
    </w:p>
    <w:p>
      <w:pPr>
        <w:pStyle w:val="ListNumber"/>
        <w:numPr>
          <w:ilvl w:val="0"/>
          <w:numId w:val="10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同一任务</w:t>
      </w:r>
      <w:r>
        <w:rPr>
          <w:rFonts w:ascii="宋体" w:eastAsia="宋体" w:hAnsi="宋体" w:cs="宋体" w:hint="eastAsia"/>
          <w:lang w:eastAsia="zh-CN"/>
        </w:rPr>
        <w:t>：单工况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分类（类别数与本文一致）；</w:t>
      </w:r>
    </w:p>
    <w:p>
      <w:pPr>
        <w:pStyle w:val="ListNumber"/>
        <w:numPr>
          <w:ilvl w:val="0"/>
          <w:numId w:val="10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同一指标</w:t>
      </w:r>
      <w:r>
        <w:rPr>
          <w:rFonts w:ascii="宋体" w:eastAsia="宋体" w:hAnsi="宋体" w:cs="宋体" w:hint="eastAsia"/>
          <w:lang w:eastAsia="zh-CN"/>
        </w:rPr>
        <w:t>：分类准确率。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数据划分方式、样本量、是否加噪与本文不同者，一律在表中</w:t>
      </w:r>
      <w:r>
        <w:t>"</w:t>
      </w:r>
      <w:r>
        <w:rPr>
          <w:rFonts w:ascii="宋体" w:eastAsia="宋体" w:hAnsi="宋体" w:cs="宋体" w:hint="eastAsia"/>
          <w:lang w:eastAsia="zh-CN"/>
        </w:rPr>
        <w:t>工况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划分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交叉验证</w:t>
      </w:r>
      <w:r>
        <w:t>"</w:t>
      </w:r>
      <w:r>
        <w:rPr>
          <w:rFonts w:ascii="宋体" w:eastAsia="宋体" w:hAnsi="宋体" w:cs="宋体" w:hint="eastAsia"/>
          <w:lang w:eastAsia="zh-CN"/>
        </w:rPr>
        <w:t>三列内逐行注明；不满足上述三条的文献不纳入本表。</w:t>
      </w:r>
    </w:p>
    <w:p>
      <w:pPr>
        <w:pStyle w:val="Heading3"/>
        <w:spacing w:line="360" w:lineRule="auto"/>
      </w:pPr>
      <w:r>
        <w:rPr>
          <w:rFonts w:ascii="宋体" w:hAnsi="宋体" w:eastAsia="宋体" w:cs="宋体" w:hint="eastAsia"/>
          <w:b/>
          <w:sz w:val="24"/>
          <w:lang w:eastAsia="zh-CN"/>
        </w:rPr>
        <w:t>（三）本文基准结果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下表数值出自本文实验记录（70 : 20 : 10 时间有序划分下的密封测试集），随机种子固定为</w:t>
      </w:r>
      <w:r>
        <w:t xml:space="preserve"> 42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  <w:jc w:val="both"/>
      </w:pPr>
      <w:r>
        <w:rPr>
          <w:rFonts w:ascii="宋体" w:eastAsia="宋体" w:hAnsi="宋体" w:cs="宋体" w:hint="eastAsia"/>
        </w:rPr>
        <w:t>表中「本文」行取自 CNN 与 GCN 两个模型在同一划分下的实测结果，区间上、下界分别对应其中较高与较低者。</w:t>
      </w:r>
    </w:p>
    <w:p>
      <w:pPr>
        <w:ind w:firstLine="0"/>
        <w:jc w:val="center"/>
      </w:pPr>
      <w:r>
        <w:rPr>
          <w:rFonts w:ascii="宋体" w:eastAsia="宋体" w:hAnsi="宋体" w:cs="宋体" w:hint="eastAsia"/>
          <w:b/>
        </w:rPr>
        <w:t>表 1　本文基准结果（密封测试集，随机种子 42）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工况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准确率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齿轮箱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 Hz-0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99.54 ~ 99.85%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齿轮箱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 Hz-2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97.69 ~ 98.15%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轴承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 Hz-0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99.85%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轴承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 Hz-2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本文整体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两工况各自建模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97.69 ~ 100%</w:t>
            </w:r>
          </w:p>
        </w:tc>
      </w:tr>
    </w:tbl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二、齿轮箱任务对照表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本表按准确率由低到高排列，全部为同库、同任务的文献报告结果，逐行注明其工况、划分方式与验证方式。</w:t>
      </w:r>
    </w:p>
    <w:p>
      <w:pPr>
        <w:ind w:firstLine="0"/>
        <w:jc w:val="center"/>
      </w:pPr>
      <w:r>
        <w:rPr>
          <w:rFonts w:ascii="宋体" w:eastAsia="宋体" w:hAnsi="宋体" w:cs="宋体" w:hint="eastAsia"/>
          <w:b/>
        </w:rPr>
        <w:t>表 2　齿轮箱任务对照表（同库、同任务 5 分类）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方法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准确率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工况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划分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交叉验证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出处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WDCNN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（单测点，六个测点）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71.6 / 77.1 / 79.6 / 86.6 / 90.7 / 92.7%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未分列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715/305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Sensors 2025, 25(16):4993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BP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82.03%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华东理工大学学报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1DCNN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83.6%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两工况合并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重复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Shock and Vibration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ELM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83.9%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两工况合并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重复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Shock and Vibration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85.46%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华东理工大学学报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KNN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88.37 / 88.24%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 / 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IEEE TIM 2021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SVM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88.49 / 87.61%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 / 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IEEE TIM 2021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GBDT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89.41%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无训练集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Algorithms 2023, 16(6):304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SVM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89.7%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两工况合并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重复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Shock and Vibration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LSTM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90.75%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AMMMP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92.90%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AMMMP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AlexNet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93.22 / 91.52%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（平均精度）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 /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3200/800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Sensors 2023, 23(17):7573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CNN-LSTM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94.82%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AMMMP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ResNet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95.35%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华东理工大学学报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ResNet18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96.60%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（原文称工况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Mathematics 2025, 13(9):1393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ResNet50 / CNN-CBAM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96.8 / 97.0%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IEEE Access 2025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ConvFormer-SENet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CNN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97.27%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ACM CIISAI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97.69 ~ 99.85%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两工况各自建模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时间有序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 xml:space="preserve">5 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折时序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 CV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</w:tr>
    </w:tbl>
    <w:p>
      <w:pPr>
        <w:spacing w:after="144"/>
        <w:ind w:firstLine="0"/>
        <w:jc w:val="left"/>
      </w:pPr>
      <w:r>
        <w:rPr>
          <w:rFonts w:ascii="宋体" w:hAnsi="宋体" w:eastAsia="宋体" w:cs="宋体" w:hint="eastAsia"/>
          <w:sz w:val="18"/>
          <w:lang w:eastAsia="zh-CN"/>
        </w:rPr>
        <w:t>＊ 该行原文附有引用标记，疑为转引而非作者自跑，引用前需再核。</w:t>
        <w:br/>
      </w:r>
      <w:r>
        <w:rPr>
          <w:rFonts w:ascii="宋体" w:hAnsi="宋体" w:eastAsia="宋体" w:cs="宋体" w:hint="eastAsia"/>
          <w:sz w:val="18"/>
          <w:lang w:eastAsia="zh-CN"/>
        </w:rPr>
        <w:t>＊＊</w:t>
      </w:r>
      <w:r>
        <w:rPr>
          <w:rFonts w:ascii="宋体" w:hAnsi="宋体"/>
          <w:sz w:val="18"/>
        </w:rPr>
        <w:t xml:space="preserve"> </w:t>
      </w:r>
      <w:r>
        <w:rPr>
          <w:rFonts w:ascii="宋体" w:hAnsi="宋体" w:eastAsia="宋体" w:cs="宋体" w:hint="eastAsia"/>
          <w:sz w:val="18"/>
          <w:lang w:eastAsia="zh-CN"/>
        </w:rPr>
        <w:t>该文献原文明确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无训练集，全部数据用于建模与测试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。</w:t>
        <w:br/>
      </w:r>
      <w:r>
        <w:rPr>
          <w:rFonts w:ascii="宋体" w:hAnsi="宋体" w:eastAsia="宋体" w:cs="宋体" w:hint="eastAsia"/>
          <w:sz w:val="18"/>
          <w:lang w:eastAsia="zh-CN"/>
        </w:rPr>
        <w:t>＊＊＊ 该文献原文未说明任务的类别数，引用前需再核。</w:t>
        <w:br/>
      </w:r>
      <w:r>
        <w:rPr>
          <w:rFonts w:ascii="宋体" w:hAnsi="宋体" w:eastAsia="宋体" w:cs="宋体" w:hint="eastAsia"/>
          <w:sz w:val="18"/>
          <w:lang w:eastAsia="zh-CN"/>
        </w:rPr>
        <w:t>注：除标注外，本表各方法的数值均由对应文献作者在其自身实验设置下训练所得，且均为</w:t>
      </w:r>
      <w:r>
        <w:rPr>
          <w:rFonts w:ascii="宋体" w:hAnsi="宋体"/>
          <w:sz w:val="18"/>
        </w:rPr>
        <w:t xml:space="preserve"> 5 </w:t>
      </w:r>
      <w:r>
        <w:rPr>
          <w:rFonts w:ascii="宋体" w:hAnsi="宋体" w:eastAsia="宋体" w:cs="宋体" w:hint="eastAsia"/>
          <w:sz w:val="18"/>
          <w:lang w:eastAsia="zh-CN"/>
        </w:rPr>
        <w:t>分类任务；本文数值出自本文实验记录。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三、轴承任务对照表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本表结构与表 2 相同，覆盖 SEU 轴承单工况 5 分类任务。</w:t>
      </w:r>
      <w:r/>
      <w:r>
        <w:rPr>
          <w:rFonts w:ascii="宋体" w:eastAsia="宋体" w:hAnsi="宋体" w:cs="宋体" w:hint="eastAsia"/>
          <w:lang w:eastAsia="zh-CN"/>
        </w:rPr>
      </w:r>
      <w:r/>
      <w:r>
        <w:rPr>
          <w:rFonts w:ascii="宋体" w:eastAsia="宋体" w:hAnsi="宋体" w:cs="宋体" w:hint="eastAsia"/>
          <w:lang w:eastAsia="zh-CN"/>
        </w:rPr>
      </w:r>
      <w:r/>
      <w:r>
        <w:rPr>
          <w:rFonts w:ascii="宋体" w:eastAsia="宋体" w:hAnsi="宋体" w:cs="宋体" w:hint="eastAsia"/>
          <w:lang w:eastAsia="zh-CN"/>
        </w:rPr>
      </w:r>
    </w:p>
    <w:p>
      <w:pPr>
        <w:ind w:firstLine="0"/>
        <w:jc w:val="center"/>
      </w:pPr>
      <w:r>
        <w:rPr>
          <w:rFonts w:ascii="宋体" w:eastAsia="宋体" w:hAnsi="宋体" w:cs="宋体" w:hint="eastAsia"/>
          <w:b/>
        </w:rPr>
        <w:t>表 3　轴承任务对照表（同库、同任务 5 分类）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方法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准确率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工况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划分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交叉验证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出处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Transformer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63.56%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ACM CIISAI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MLP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70.00%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78.13%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LSTM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78.33%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GRU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82.07%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CNN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89.50%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ACM CIISAI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kNN / SVM / RF / GBDT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91.76 ~ 97.25%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无训练集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Algorithms 2023, 16(6):304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99.85 ~ 100%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两工况各自建模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时间有序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 xml:space="preserve">5 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折时序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 CV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</w:tr>
    </w:tbl>
    <w:p>
      <w:pPr>
        <w:spacing w:after="144"/>
        <w:ind w:firstLine="0"/>
        <w:jc w:val="left"/>
      </w:pPr>
      <w:r>
        <w:rPr>
          <w:rFonts w:ascii="宋体" w:hAnsi="宋体" w:eastAsia="宋体" w:cs="宋体" w:hint="eastAsia"/>
          <w:sz w:val="18"/>
          <w:lang w:eastAsia="zh-CN"/>
        </w:rPr>
        <w:t>＊＊</w:t>
      </w:r>
      <w:r>
        <w:rPr>
          <w:rFonts w:ascii="宋体" w:hAnsi="宋体"/>
          <w:sz w:val="18"/>
        </w:rPr>
        <w:t xml:space="preserve"> </w:t>
      </w:r>
      <w:r>
        <w:rPr>
          <w:rFonts w:ascii="宋体" w:hAnsi="宋体" w:eastAsia="宋体" w:cs="宋体" w:hint="eastAsia"/>
          <w:sz w:val="18"/>
          <w:lang w:eastAsia="zh-CN"/>
        </w:rPr>
        <w:t>该文献原文明确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无训练集，全部数据用于建模与测试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；表中 91.76 ~ 97.25% 取自该文 SVMD 熵特征在工况 II 下四个分类器的结果。</w:t>
        <w:br/>
      </w:r>
      <w:r>
        <w:rPr>
          <w:rFonts w:ascii="宋体" w:hAnsi="宋体" w:eastAsia="宋体" w:cs="宋体" w:hint="eastAsia"/>
          <w:sz w:val="18"/>
          <w:lang w:eastAsia="zh-CN"/>
        </w:rPr>
        <w:t>＊＊＊ 该文献原文未说明任务的类别数，引用前需再核。</w:t>
        <w:br/>
      </w:r>
      <w:r>
        <w:rPr>
          <w:rFonts w:ascii="宋体" w:hAnsi="宋体" w:eastAsia="宋体" w:cs="宋体" w:hint="eastAsia"/>
          <w:sz w:val="18"/>
          <w:lang w:eastAsia="zh-CN"/>
        </w:rPr>
        <w:t>注：标注</w:t>
      </w:r>
      <w:r>
        <w:rPr>
          <w:rFonts w:ascii="宋体" w:hAnsi="宋体"/>
          <w:sz w:val="18"/>
        </w:rPr>
        <w:t xml:space="preserve">"0 dB </w:t>
      </w:r>
      <w:r>
        <w:rPr>
          <w:rFonts w:ascii="宋体" w:hAnsi="宋体" w:eastAsia="宋体" w:cs="宋体" w:hint="eastAsia"/>
          <w:sz w:val="18"/>
          <w:lang w:eastAsia="zh-CN"/>
        </w:rPr>
        <w:t>噪声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的行为加噪条件下的结果，其加噪方式为在原始信号上注入高斯白噪声，基线取</w:t>
      </w:r>
      <w:r>
        <w:rPr>
          <w:rFonts w:ascii="宋体" w:hAnsi="宋体"/>
          <w:sz w:val="18"/>
        </w:rPr>
        <w:t xml:space="preserve"> 5 </w:t>
      </w:r>
      <w:r>
        <w:rPr>
          <w:rFonts w:ascii="宋体" w:hAnsi="宋体" w:eastAsia="宋体" w:cs="宋体" w:hint="eastAsia"/>
          <w:sz w:val="18"/>
          <w:lang w:eastAsia="zh-CN"/>
        </w:rPr>
        <w:t>次实验均值。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四、引用注意事项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本节四条为引用时必须同时写明的条件，缺少任何一条都会使对照失去可比性。</w:t>
      </w:r>
    </w:p>
    <w:p>
      <w:pPr>
        <w:ind w:firstLine="480"/>
        <w:jc w:val="both"/>
      </w:pPr>
      <w:r>
        <w:rPr>
          <w:rFonts w:ascii="宋体" w:eastAsia="宋体" w:hAnsi="宋体" w:cs="宋体" w:hint="eastAsia"/>
        </w:rPr>
        <w:t>本文所有结论均只在验证集上调参、测试集全程封闭（参数冻结后仅评估一次），下表所列本文数值即出自该密封测试集。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同一篇文献只能引其低于本文的行，不得整表照搬。</w:t>
      </w:r>
      <w:r>
        <w:t xml:space="preserve">IEEE TIM 2021 </w:t>
      </w:r>
      <w:r>
        <w:rPr>
          <w:rFonts w:ascii="宋体" w:eastAsia="宋体" w:hAnsi="宋体" w:cs="宋体" w:hint="eastAsia"/>
          <w:lang w:eastAsia="zh-CN"/>
        </w:rPr>
        <w:t>一文作者所提方法在</w:t>
      </w:r>
      <w:r>
        <w:t xml:space="preserve"> 30 Hz-2 V </w:t>
      </w:r>
      <w:r>
        <w:rPr>
          <w:rFonts w:ascii="宋体" w:eastAsia="宋体" w:hAnsi="宋体" w:cs="宋体" w:hint="eastAsia"/>
          <w:lang w:eastAsia="zh-CN"/>
        </w:rPr>
        <w:t>工况达</w:t>
      </w:r>
      <w:r>
        <w:t xml:space="preserve"> 99.41%</w:t>
      </w:r>
      <w:r>
        <w:rPr>
          <w:rFonts w:ascii="宋体" w:eastAsia="宋体" w:hAnsi="宋体" w:cs="宋体" w:hint="eastAsia"/>
          <w:lang w:eastAsia="zh-CN"/>
        </w:rPr>
        <w:t>，高于本文该工况结果；</w:t>
      </w:r>
      <w:r>
        <w:t xml:space="preserve">AMMMP 2024 </w:t>
      </w:r>
      <w:r>
        <w:rPr>
          <w:rFonts w:ascii="宋体" w:eastAsia="宋体" w:hAnsi="宋体" w:cs="宋体" w:hint="eastAsia"/>
          <w:lang w:eastAsia="zh-CN"/>
        </w:rPr>
        <w:t>一文作者所提方法自报</w:t>
      </w:r>
      <w:r>
        <w:t xml:space="preserve"> 98.50%</w:t>
      </w:r>
      <w:r>
        <w:rPr>
          <w:rFonts w:ascii="宋体" w:eastAsia="宋体" w:hAnsi="宋体" w:cs="宋体" w:hint="eastAsia"/>
          <w:lang w:eastAsia="zh-CN"/>
        </w:rPr>
        <w:t>，亦高于本文齿轮箱结果下限。引用时应表述为</w:t>
      </w:r>
      <w:r>
        <w:t>"</w:t>
      </w:r>
      <w:r>
        <w:rPr>
          <w:rFonts w:ascii="宋体" w:eastAsia="宋体" w:hAnsi="宋体" w:cs="宋体" w:hint="eastAsia"/>
          <w:lang w:eastAsia="zh-CN"/>
        </w:rPr>
        <w:t>优于其列举的对比基线</w:t>
      </w:r>
      <w:r>
        <w:t>"</w:t>
      </w:r>
      <w:r>
        <w:rPr>
          <w:rFonts w:ascii="宋体" w:eastAsia="宋体" w:hAnsi="宋体" w:cs="宋体" w:hint="eastAsia"/>
          <w:lang w:eastAsia="zh-CN"/>
        </w:rPr>
        <w:t>，不得表述为</w:t>
      </w:r>
      <w:r>
        <w:t>"</w:t>
      </w:r>
      <w:r>
        <w:rPr>
          <w:rFonts w:ascii="宋体" w:eastAsia="宋体" w:hAnsi="宋体" w:cs="宋体" w:hint="eastAsia"/>
          <w:lang w:eastAsia="zh-CN"/>
        </w:rPr>
        <w:t>优于该文献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Algorithms 2023 一文须注明其评估方式。</w:t>
      </w:r>
      <w:r>
        <w:rPr>
          <w:rFonts w:ascii="宋体" w:eastAsia="宋体" w:hAnsi="宋体" w:cs="宋体" w:hint="eastAsia"/>
          <w:lang w:eastAsia="zh-CN"/>
        </w:rPr>
        <w:t>该文原文明确无训练集、全部数据用于建模与测试，其报出数值为样本内拟合结果，非独立测试集上的泛化准确率。建议表述为</w:t>
      </w:r>
      <w:r>
        <w:t>"</w:t>
      </w:r>
      <w:r>
        <w:rPr>
          <w:rFonts w:ascii="宋体" w:eastAsia="宋体" w:hAnsi="宋体" w:cs="宋体" w:hint="eastAsia"/>
          <w:lang w:eastAsia="zh-CN"/>
        </w:rPr>
        <w:t>即便按该文最宽松的评估方式，其齿轮箱任务最高准确率仍为</w:t>
      </w:r>
      <w:r>
        <w:t xml:space="preserve"> 96.02%</w:t>
      </w:r>
      <w:r>
        <w:rPr>
          <w:rFonts w:ascii="宋体" w:eastAsia="宋体" w:hAnsi="宋体" w:cs="宋体" w:hint="eastAsia"/>
          <w:lang w:eastAsia="zh-CN"/>
        </w:rPr>
        <w:t>，低于本文在同一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分类任务下的下限</w:t>
      </w:r>
      <w:r>
        <w:t xml:space="preserve"> 97.69%"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本文列数值须注明出处。表 2 的 97.69 ~ 99.85% 与表 3 的 99.85 ~ 100% 分别出自本文齿轮箱、轴承实验记录，不应与其他协议下的复现值混用。</w:t>
      </w:r>
      <w:r>
        <w:rPr>
          <w:rFonts w:ascii="宋体" w:eastAsia="宋体" w:hAnsi="宋体" w:cs="宋体" w:hint="eastAsia"/>
          <w:lang w:eastAsia="zh-CN"/>
        </w:rPr>
      </w:r>
      <w:r/>
      <w:r>
        <w:rPr>
          <w:rFonts w:ascii="宋体" w:eastAsia="宋体" w:hAnsi="宋体" w:cs="宋体" w:hint="eastAsia"/>
          <w:lang w:eastAsia="zh-CN"/>
        </w:rPr>
      </w:r>
      <w:r/>
      <w:r>
        <w:rPr>
          <w:rFonts w:ascii="宋体" w:eastAsia="宋体" w:hAnsi="宋体" w:cs="宋体" w:hint="eastAsia"/>
          <w:lang w:eastAsia="zh-CN"/>
        </w:rPr>
      </w:r>
      <w:r/>
      <w:r>
        <w:rPr>
          <w:rFonts w:ascii="宋体" w:eastAsia="宋体" w:hAnsi="宋体" w:cs="宋体" w:hint="eastAsia"/>
          <w:lang w:eastAsia="zh-CN"/>
        </w:rPr>
      </w:r>
      <w:r/>
      <w:r>
        <w:rPr>
          <w:rFonts w:ascii="宋体" w:eastAsia="宋体" w:hAnsi="宋体" w:cs="宋体" w:hint="eastAsia"/>
          <w:lang w:eastAsia="zh-CN"/>
        </w:rPr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对照性质须在正文中说明。上述文献在数据划分与验证方式上与本文存在差异（详见表 2、表 3 对应列），该对照属同库、同任务条件下的参考，非严格同协议比较。</w:t>
      </w:r>
      <w:r>
        <w:rPr>
          <w:rFonts w:ascii="宋体" w:eastAsia="宋体" w:hAnsi="宋体" w:cs="宋体" w:hint="eastAsia"/>
          <w:lang w:eastAsia="zh-CN"/>
        </w:rPr>
      </w:r>
      <w:r/>
      <w:r>
        <w:rPr>
          <w:rFonts w:ascii="宋体" w:eastAsia="宋体" w:hAnsi="宋体" w:cs="宋体" w:hint="eastAsia"/>
          <w:lang w:eastAsia="zh-CN"/>
        </w:rPr>
      </w:r>
      <w:r/>
      <w:r>
        <w:rPr>
          <w:rFonts w:ascii="宋体" w:eastAsia="宋体" w:hAnsi="宋体" w:cs="宋体" w:hint="eastAsia"/>
          <w:lang w:eastAsia="zh-CN"/>
        </w:rPr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建议正文表述如下：</w:t>
      </w:r>
    </w:p>
    <w:p>
      <w:pPr>
        <w:spacing w:after="176"/>
        <w:ind w:firstLine="0"/>
        <w:jc w:val="both"/>
        <w:pBdr>
          <w:left w:val="single" w:sz="18" w:space="0" w:color="000000"/>
        </w:pBdr>
      </w:pPr>
      <w:r>
        <w:rPr>
          <w:rFonts w:ascii="宋体" w:eastAsia="宋体" w:hAnsi="宋体" w:cs="宋体" w:hint="eastAsia"/>
          <w:sz w:val="22"/>
          <w:lang w:eastAsia="zh-CN"/>
        </w:rPr>
        <w:t>在 SEU 数据集上，本文方法在齿轮箱与轴承两个 5 分类任务上分别达到 97.69 ~ 99.85% 与 99.85 ~ 100%。与同源文献报告结果相比（表 2、表 3），本文准确率高于其中列出的传统机器学习方法与常见深度基线。需要说明的是，上述文献在数据划分与验证方式上与本文存在差异，因此该对照仅作为同库、同任务条件下的参考，并非严格同协议比较。</w:t>
      </w:r>
      <w:r>
        <w:rPr>
          <w:sz w:val="22"/>
        </w:rPr>
      </w:r>
      <w:r>
        <w:rPr>
          <w:rFonts w:ascii="宋体" w:eastAsia="宋体" w:hAnsi="宋体" w:cs="宋体" w:hint="eastAsia"/>
          <w:sz w:val="22"/>
          <w:lang w:eastAsia="zh-CN"/>
        </w:rPr>
      </w:r>
      <w:r>
        <w:rPr>
          <w:sz w:val="22"/>
        </w:rPr>
      </w:r>
      <w:r>
        <w:rPr>
          <w:rFonts w:ascii="宋体" w:eastAsia="宋体" w:hAnsi="宋体" w:cs="宋体" w:hint="eastAsia"/>
          <w:sz w:val="22"/>
          <w:lang w:eastAsia="zh-CN"/>
        </w:rPr>
      </w:r>
      <w:r>
        <w:rPr>
          <w:sz w:val="22"/>
        </w:rPr>
      </w:r>
      <w:r>
        <w:rPr>
          <w:rFonts w:ascii="宋体" w:eastAsia="宋体" w:hAnsi="宋体" w:cs="宋体" w:hint="eastAsia"/>
          <w:sz w:val="22"/>
          <w:lang w:eastAsia="zh-CN"/>
        </w:rPr>
      </w:r>
      <w:r>
        <w:rPr>
          <w:sz w:val="22"/>
        </w:rPr>
      </w:r>
      <w:r>
        <w:rPr>
          <w:rFonts w:ascii="宋体" w:eastAsia="宋体" w:hAnsi="宋体" w:cs="宋体" w:hint="eastAsia"/>
          <w:sz w:val="22"/>
          <w:lang w:eastAsia="zh-CN"/>
        </w:rPr>
      </w:r>
      <w:r>
        <w:rPr>
          <w:sz w:val="22"/>
        </w:rPr>
      </w:r>
      <w:r>
        <w:rPr>
          <w:rFonts w:ascii="宋体" w:eastAsia="宋体" w:hAnsi="宋体" w:cs="宋体" w:hint="eastAsia"/>
          <w:sz w:val="22"/>
          <w:lang w:eastAsia="zh-CN"/>
        </w:rPr>
      </w:r>
      <w:r>
        <w:rPr>
          <w:sz w:val="22"/>
        </w:rPr>
      </w:r>
      <w:r>
        <w:rPr>
          <w:rFonts w:ascii="宋体" w:eastAsia="宋体" w:hAnsi="宋体" w:cs="宋体" w:hint="eastAsia"/>
          <w:sz w:val="22"/>
          <w:lang w:eastAsia="zh-CN"/>
        </w:rPr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五、不纳入本表的条目及原因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以下文献虽使用</w:t>
      </w:r>
      <w:r>
        <w:t xml:space="preserve"> SEU </w:t>
      </w:r>
      <w:r>
        <w:rPr>
          <w:rFonts w:ascii="宋体" w:eastAsia="宋体" w:hAnsi="宋体" w:cs="宋体" w:hint="eastAsia"/>
          <w:lang w:eastAsia="zh-CN"/>
        </w:rPr>
        <w:t>数据集或常被用于此类对比，但因任务结构或任务方向不符，不纳入本表。</w:t>
      </w:r>
    </w:p>
    <w:p>
      <w:pPr>
        <w:ind w:firstLine="0"/>
        <w:jc w:val="center"/>
      </w:pPr>
      <w:r>
        <w:rPr>
          <w:rFonts w:ascii="宋体" w:eastAsia="宋体" w:hAnsi="宋体" w:cs="宋体" w:hint="eastAsia"/>
          <w:b/>
        </w:rPr>
        <w:t>表 4　不纳入本表的条目及原因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条目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不纳入的原因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MGE-ResNet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Processes 2025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SCBM-Net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SAGAN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任务类别数为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类或少样本，与本文单工况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分类不同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Kibrete 1D CNN-LSTM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Wiley 2025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变工况、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10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类（含复合故障），任务结构不同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ADSRN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Machines 2025, 13(3):193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其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SEU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轴承案例为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类（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种状态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× 2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个转速），非单工况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分类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DDGF-Net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Machines 2026, 14(9):1013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噪声实验区间为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−10 ~ −6 dB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，与本文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−4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下限不重叠；唯一重叠的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−4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处其基线高于本文齿轮箱结果，属反向证据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FE-MCFormer / FEMSN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arXiv:2505.06285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当前版本（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v3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）已删除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SEU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案例，改为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PU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轴承与离心压缩机数据，引用存在版本风险</w:t>
            </w:r>
          </w:p>
        </w:tc>
      </w:tr>
    </w:tbl>
    <w:p>
      <w:pPr>
        <w:spacing w:after="144"/>
        <w:ind w:firstLine="0"/>
        <w:jc w:val="left"/>
      </w:pPr>
      <w:r>
        <w:rPr>
          <w:rFonts w:ascii="宋体" w:hAnsi="宋体" w:eastAsia="宋体" w:cs="宋体" w:hint="eastAsia"/>
          <w:sz w:val="18"/>
          <w:lang w:eastAsia="zh-CN"/>
        </w:rPr>
        <w:t>注：上表中类别数不同者可另列于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其他设置下的方法参考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表，并注明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其任务类别数与本文不同，仅列供参考，不参与直接对比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六、文献出处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以下为本文档引用条目的完整出处，按首次出现顺序排列。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Meng X, Wang Q, Shi C, et al. Deep Ensemble Learning Based on Multi-Form Fusion in Gearbox Fault Recognition[J]. Sensors, 2025, 25(16): 4993. DOI: 10.3390/s25164993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rFonts w:ascii="宋体" w:eastAsia="宋体" w:hAnsi="宋体" w:cs="宋体" w:hint="eastAsia"/>
          <w:sz w:val="21"/>
          <w:lang w:eastAsia="zh-CN"/>
        </w:rPr>
        <w:t>邵浙梁</w:t>
      </w:r>
      <w:r>
        <w:rPr>
          <w:sz w:val="21"/>
        </w:rPr>
        <w:t xml:space="preserve">, </w:t>
      </w:r>
      <w:r>
        <w:rPr>
          <w:rFonts w:ascii="宋体" w:eastAsia="宋体" w:hAnsi="宋体" w:cs="宋体" w:hint="eastAsia"/>
          <w:sz w:val="21"/>
          <w:lang w:eastAsia="zh-CN"/>
        </w:rPr>
        <w:t>戚知宽</w:t>
      </w:r>
      <w:r>
        <w:rPr>
          <w:sz w:val="21"/>
        </w:rPr>
        <w:t xml:space="preserve">, </w:t>
      </w:r>
      <w:r>
        <w:rPr>
          <w:rFonts w:ascii="宋体" w:eastAsia="宋体" w:hAnsi="宋体" w:cs="宋体" w:hint="eastAsia"/>
          <w:sz w:val="21"/>
          <w:lang w:eastAsia="zh-CN"/>
        </w:rPr>
        <w:t>周邵萍</w:t>
      </w:r>
      <w:r>
        <w:rPr>
          <w:sz w:val="21"/>
        </w:rPr>
        <w:t xml:space="preserve">. </w:t>
      </w:r>
      <w:r>
        <w:rPr>
          <w:rFonts w:ascii="宋体" w:eastAsia="宋体" w:hAnsi="宋体" w:cs="宋体" w:hint="eastAsia"/>
          <w:sz w:val="21"/>
          <w:lang w:eastAsia="zh-CN"/>
        </w:rPr>
        <w:t>基于改进注意力机制的</w:t>
      </w:r>
      <w:r>
        <w:rPr>
          <w:sz w:val="21"/>
        </w:rPr>
        <w:t xml:space="preserve"> CNN </w:t>
      </w:r>
      <w:r>
        <w:rPr>
          <w:rFonts w:ascii="宋体" w:eastAsia="宋体" w:hAnsi="宋体" w:cs="宋体" w:hint="eastAsia"/>
          <w:sz w:val="21"/>
          <w:lang w:eastAsia="zh-CN"/>
        </w:rPr>
        <w:t>的齿轮箱故障诊断</w:t>
      </w:r>
      <w:r>
        <w:rPr>
          <w:sz w:val="21"/>
        </w:rPr>
        <w:t xml:space="preserve">[J]. </w:t>
      </w:r>
      <w:r>
        <w:rPr>
          <w:rFonts w:ascii="宋体" w:eastAsia="宋体" w:hAnsi="宋体" w:cs="宋体" w:hint="eastAsia"/>
          <w:sz w:val="21"/>
          <w:lang w:eastAsia="zh-CN"/>
        </w:rPr>
        <w:t>华东理工大学学报（自然科学版）</w:t>
      </w:r>
      <w:r>
        <w:rPr>
          <w:sz w:val="21"/>
        </w:rPr>
        <w:t>, 2024, 50(6): 920-928. DOI: 10.14135/j.cnki.1006-3080.20231207002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Wu N, Li Y, Li X, et al. An Investigation on Attention Mechanism-Based Long Short-Term Memory for Gearbox Fault Diagnosis[J]. Shock and Vibration, 2025: 8680245. DOI: 10.1155/vib/8680245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Zhu C, Chen Z, Zhao R, et al. Decoupled Feature-Temporal CNN: Explaining Deep Learning-Based Machine Health Monitoring[J]. IEEE Transactions on Instrumentation and Measurement, 2021, 70: 1-13. DOI: 10.1109/TIM.2021.3084310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Zhang L, Zhang Y, Li G. Fault-Diagnosis Method for Rotating Machinery Based on SVMD Entropy and Machine Learning[J]. Algorithms, 2023, 16(6): 304. DOI: 10.3390/a16060304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Cheng K, Cheng L, Mao T, et al. Fault Diagnosis of Gearbox Based on CNN and LSTM with Attention Mechanism[C]. Highlights in Science, Engineering and Technology (AMMMP 2024), 2024, 93: 285-294. DOI: 10.54097/0s38yb63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Wang Z, Tao Y, Du Y, et al. Optimization of Gearbox Fault Detection Method Based on Deep Residual Neural Network Algorithm[J]. Sensors, 2023, 23(17): 7573. DOI: 10.3390/s23177573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Zhou S, Yu X, Li X, Wang Y, Ji K, Ren Z. Gearbox Fault Diagnosis Based on Compressed Sensing and Multi-Scale Residual Network with Lightweight Attention Mechanism[J]. Mathematics, 2025, 13(9): 1393. DOI: 10.3390/math13091393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He Q, Kang B, Fan S, Li X. Hierarchical Convolution-Transformer Framework for Gear Fault Diagnosis Under Severe Noise[J]. IEEE Access, 2025, 13: 105492-105504. DOI: 10.1109/ACCESS.2025.3580424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Yang L, He H, Chang W, et al. Research on Equipment Fault Diagnosis Method Based on Multimodal Deep Fusion[C]. ACM CIISAI, 2025: 1203-1208. DOI: 10.1145/3773365.3773555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Li W, Cai H, Yang X, et al. Dual-Channel Parallel Multimodal Feature Fusion for Bearing Fault Diagnosis[J]. Machines, 2025, 13(10): 950. DOI: 10.3390/machines13100950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Jiang Y, Lu M, Dong Z, et al. Adaptive Deeping Siamese Residual Network: A Novel Model for Few-Shot Bearing Fault Diagnosis[J]. Machines, 2025, 13(3): 193. DOI: 10.3390/machines13030193</w:t>
      </w:r>
      <w:r/>
      <w:r/>
      <w:r/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before="0" w:after="120"/>
      <w:ind w:firstLine="480"/>
      <w:jc w:val="both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92" w:line="306" w:lineRule="auto"/>
      <w:ind w:firstLine="0"/>
      <w:jc w:val="center"/>
      <w:outlineLvl w:val="0"/>
    </w:pPr>
    <w:rPr>
      <w:rFonts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06" w:lineRule="auto"/>
      <w:ind w:firstLine="0"/>
      <w:outlineLvl w:val="1"/>
    </w:pPr>
    <w:rPr>
      <w:rFonts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2" w:after="120" w:line="306" w:lineRule="auto"/>
      <w:ind w:firstLine="0"/>
      <w:outlineLvl w:val="2"/>
    </w:pPr>
    <w:rPr>
      <w:rFonts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