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0F3D6E"/>
          <w:sz w:val="38"/>
          <w:lang w:eastAsia="zh-CN"/>
        </w:rPr>
        <w:t>同源文献中"低于本文"的实验对照（SEU 同库）</w:t>
      </w:r>
      <w:r/>
      <w:r>
        <w:rPr>
          <w:rFonts w:ascii="Microsoft YaHei" w:eastAsia="Microsoft YaHei" w:hAnsi="Microsoft YaHei" w:cs="Microsoft YaHei" w:hint="eastAsia"/>
          <w:lang w:eastAsia="zh-CN"/>
        </w:rPr>
        <w:t>检索目的：找出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别人论文里在 SEU 数据集上、与本文同任务同指标、但准确率低于本文</w:t>
      </w:r>
      <w:r>
        <w:rPr>
          <w:rFonts w:ascii="Microsoft YaHei" w:eastAsia="Microsoft YaHei" w:hAnsi="Microsoft YaHei" w:cs="Microsoft YaHei" w:hint="eastAsia"/>
          <w:lang w:eastAsia="zh-CN"/>
        </w:rPr>
        <w:t>的实验，作为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本文更优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的直接依据。</w:t>
        <w:br/>
      </w:r>
      <w:r/>
      <w:r>
        <w:rPr>
          <w:rFonts w:ascii="Microsoft YaHei" w:eastAsia="Microsoft YaHei" w:hAnsi="Microsoft YaHei" w:cs="Microsoft YaHei" w:hint="eastAsia"/>
          <w:lang w:eastAsia="zh-CN"/>
        </w:rPr>
        <w:t>整理日期：</w:t>
      </w:r>
      <w:r>
        <w:t>2026-10-01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一、对比口径（先立标尺）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pct" w:w="390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本文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数据库</w:t>
            </w:r>
          </w:p>
        </w:tc>
        <w:tc>
          <w:tcPr>
            <w:tcW w:type="pct" w:w="39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SEU DDS</w:t>
            </w:r>
            <w:r>
              <w:t xml:space="preserve"> </w:t>
            </w:r>
            <w:r>
              <w:t>（东南大学传动系统动态模拟器）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任务</w:t>
            </w:r>
          </w:p>
        </w:tc>
        <w:tc>
          <w:tcPr>
            <w:tcW w:type="pct" w:w="39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轴承 </w:t>
            </w:r>
            <w:r>
              <w:rPr>
                <w:b/>
              </w:rPr>
              <w:t>5 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5 类</w:t>
            </w:r>
            <w:r>
              <w:t xml:space="preserve"> （分开建模）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工况</w:t>
            </w:r>
          </w:p>
        </w:tc>
        <w:tc>
          <w:tcPr>
            <w:tcW w:type="pct" w:w="39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20-0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30-2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两工况各自独立建模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任务性质</w:t>
            </w:r>
          </w:p>
        </w:tc>
        <w:tc>
          <w:tcPr>
            <w:tcW w:type="pct" w:w="39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同工况内分类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指标</w:t>
            </w:r>
          </w:p>
        </w:tc>
        <w:tc>
          <w:tcPr>
            <w:tcW w:type="pct" w:w="39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准确率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本文最终测试结果</w:t>
            </w:r>
          </w:p>
        </w:tc>
        <w:tc>
          <w:tcPr>
            <w:tcW w:type="pct" w:w="390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轴承 </w:t>
            </w:r>
            <w:r>
              <w:rPr>
                <w:b/>
              </w:rPr>
              <w:t>99.85% ~ 100%</w:t>
            </w:r>
            <w:r>
              <w:t xml:space="preserve"> ；齿轮 </w:t>
            </w:r>
            <w:r>
              <w:rPr>
                <w:b/>
              </w:rPr>
              <w:t>97.69% ~ 99.85%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组合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97.69% ~ 100%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"可比"的三条硬标准</w:t>
      </w:r>
      <w:r>
        <w:rPr>
          <w:rFonts w:ascii="Microsoft YaHei" w:eastAsia="Microsoft YaHei" w:hAnsi="Microsoft YaHei" w:cs="Microsoft YaHei" w:hint="eastAsia"/>
          <w:lang w:eastAsia="zh-CN"/>
        </w:rPr>
        <w:t>：同一个</w:t>
      </w:r>
      <w:r>
        <w:t xml:space="preserve"> SEU </w:t>
      </w:r>
      <w:r>
        <w:rPr>
          <w:rFonts w:ascii="Microsoft YaHei" w:eastAsia="Microsoft YaHei" w:hAnsi="Microsoft YaHei" w:cs="Microsoft YaHei" w:hint="eastAsia"/>
          <w:lang w:eastAsia="zh-CN"/>
        </w:rPr>
        <w:t>数据库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同类任务（同工况内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分类）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同一个指标（准确率）。三条都满足才列进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表</w:t>
      </w:r>
      <w:r>
        <w:t xml:space="preserve"> A"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二、表 A：同库同任务，且低于本文（可直接引用）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486B"/>
          <w:sz w:val="24"/>
          <w:lang w:eastAsia="zh-CN"/>
        </w:rPr>
        <w:t>A-1 传统机器学习方法（VMD / SVMD 熵 + SVM / k-NN / RF / GBDT）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出处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Zhang L., Zhang Y., Li G. </w:t>
      </w:r>
      <w:r>
        <w:rPr>
          <w:i/>
        </w:rPr>
        <w:t>Fault-Diagnosis Method for Rotating Machinery Based on SVMD Entropy and Machine Learning.</w:t>
      </w:r>
      <w:r>
        <w:t xml:space="preserve"> Algorithms, 2023, 16(6): 304</w:t>
      </w:r>
      <w:r>
        <w:rPr>
          <w:rFonts w:ascii="Microsoft YaHei" w:eastAsia="Microsoft YaHei" w:hAnsi="Microsoft YaHei" w:cs="Microsoft YaHei" w:hint="eastAsia"/>
          <w:lang w:eastAsia="zh-CN"/>
        </w:rPr>
        <w:t>（表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该文用的是 </w:t>
      </w:r>
      <w:r>
        <w:rPr>
          <w:rFonts w:ascii="Microsoft YaHei" w:eastAsia="Microsoft YaHei" w:hAnsi="Microsoft YaHei" w:cs="Microsoft YaHei" w:hint="eastAsia"/>
          <w:b/>
          <w:lang w:eastAsia="zh-CN"/>
        </w:rPr>
        <w:t>SEU 轴承 5 类（Ball / Comb / Health / Inner / Outer）与齿轮 5 类（Chipped / Health / Miss / Root / Surface）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20-0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30-2 </w:t>
      </w:r>
      <w:r>
        <w:rPr>
          <w:rFonts w:ascii="Microsoft YaHei" w:eastAsia="Microsoft YaHei" w:hAnsi="Microsoft YaHei" w:cs="Microsoft YaHei" w:hint="eastAsia"/>
          <w:lang w:eastAsia="zh-CN"/>
        </w:rPr>
        <w:t>两工况独立建模，每类</w:t>
      </w:r>
      <w:r>
        <w:t xml:space="preserve"> 1,048,560 </w:t>
      </w:r>
      <w:r>
        <w:rPr>
          <w:rFonts w:ascii="Microsoft YaHei" w:eastAsia="Microsoft YaHei" w:hAnsi="Microsoft YaHei" w:cs="Microsoft YaHei" w:hint="eastAsia"/>
          <w:lang w:eastAsia="zh-CN"/>
        </w:rPr>
        <w:t>点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与本文任务完全一致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文献中的方法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轴承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20-0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轴承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30-2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齿轮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20-0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齿轮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30-2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模糊熵</w:t>
            </w:r>
            <w:r>
              <w:t xml:space="preserve"> </w:t>
            </w:r>
            <w:r>
              <w:t xml:space="preserve"> + k-NN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94.42%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90.98%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能量熵</w:t>
            </w:r>
            <w:r>
              <w:t xml:space="preserve"> </w:t>
            </w:r>
            <w:r>
              <w:t xml:space="preserve"> + SVM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94.12%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91.27%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90.20%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模糊熵</w:t>
            </w:r>
            <w:r>
              <w:t xml:space="preserve"> </w:t>
            </w:r>
            <w:r>
              <w:t xml:space="preserve"> + RF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95.69%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96.02%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93.33%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模糊熵</w:t>
            </w:r>
            <w:r>
              <w:t xml:space="preserve"> </w:t>
            </w:r>
            <w:r>
              <w:t xml:space="preserve"> + GBDT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95.29%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95.22%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89.41%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本文（同任务）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99.54~99.85%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97.69~98.15%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差距</w:t>
      </w:r>
      <w:r>
        <w:rPr>
          <w:rFonts w:ascii="Microsoft YaHei" w:eastAsia="Microsoft YaHei" w:hAnsi="Microsoft YaHei" w:cs="Microsoft YaHei" w:hint="eastAsia"/>
          <w:lang w:eastAsia="zh-CN"/>
        </w:rPr>
        <w:t>：齿轮任务上，文献传统方法最高</w:t>
      </w:r>
      <w:r>
        <w:t xml:space="preserve"> 96.02%</w:t>
      </w:r>
      <w:r>
        <w:rPr>
          <w:rFonts w:ascii="Microsoft YaHei" w:eastAsia="Microsoft YaHei" w:hAnsi="Microsoft YaHei" w:cs="Microsoft YaHei" w:hint="eastAsia"/>
          <w:lang w:eastAsia="zh-CN"/>
        </w:rPr>
        <w:t>，本文最低</w:t>
      </w:r>
      <w:r>
        <w:t xml:space="preserve"> 97.69%——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本文高出 1.7 ~ 8.3 个百分点</w:t>
      </w:r>
      <w:r>
        <w:rPr>
          <w:rFonts w:ascii="Microsoft YaHei" w:eastAsia="Microsoft YaHei" w:hAnsi="Microsoft YaHei" w:cs="Microsoft YaHei" w:hint="eastAsia"/>
          <w:lang w:eastAsia="zh-CN"/>
        </w:rPr>
        <w:t>；轴承</w:t>
      </w:r>
      <w:r>
        <w:t xml:space="preserve"> 30-2 </w:t>
      </w:r>
      <w:r>
        <w:rPr>
          <w:rFonts w:ascii="Microsoft YaHei" w:eastAsia="Microsoft YaHei" w:hAnsi="Microsoft YaHei" w:cs="Microsoft YaHei" w:hint="eastAsia"/>
          <w:lang w:eastAsia="zh-CN"/>
        </w:rPr>
        <w:t>上文献</w:t>
      </w:r>
      <w:r>
        <w:t xml:space="preserve"> 94.12~97.25%</w:t>
      </w:r>
      <w:r>
        <w:rPr>
          <w:rFonts w:ascii="Microsoft YaHei" w:eastAsia="Microsoft YaHei" w:hAnsi="Microsoft YaHei" w:cs="Microsoft YaHei" w:hint="eastAsia"/>
          <w:lang w:eastAsia="zh-CN"/>
        </w:rPr>
        <w:t>，本文</w:t>
      </w:r>
      <w:r>
        <w:t xml:space="preserve"> 100%——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高出 2.8 ~ 5.9 个百分点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4486B"/>
          <w:sz w:val="24"/>
          <w:lang w:eastAsia="zh-CN"/>
        </w:rPr>
        <w:t>A-2 该文自己给出的完整方法网格（表 5，SEU 轴承）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特征</w:t>
            </w:r>
          </w:p>
        </w:tc>
        <w:tc>
          <w:tcPr>
            <w:tcW w:type="dxa" w:w="144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工况</w:t>
            </w:r>
          </w:p>
        </w:tc>
        <w:tc>
          <w:tcPr>
            <w:tcW w:type="dxa" w:w="144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SVM</w:t>
            </w:r>
          </w:p>
        </w:tc>
        <w:tc>
          <w:tcPr>
            <w:tcW w:type="dxa" w:w="144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k-NN</w:t>
            </w:r>
          </w:p>
        </w:tc>
        <w:tc>
          <w:tcPr>
            <w:tcW w:type="dxa" w:w="144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144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GBDT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VMD </w:t>
            </w:r>
            <w:r>
              <w:t xml:space="preserve"> </w:t>
            </w:r>
            <w:r>
              <w:t>能量熵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 (20-0)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97.57%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97.34%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98.04%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98.04%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能量熵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 (20-0)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96.86%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96.47%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VMD </w:t>
            </w:r>
            <w:r>
              <w:t xml:space="preserve"> </w:t>
            </w:r>
            <w:r>
              <w:t>模糊熵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 (20-0)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99.13%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98.98%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模糊熵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 (20-0)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93.96%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VMD </w:t>
            </w:r>
            <w:r>
              <w:t xml:space="preserve"> </w:t>
            </w:r>
            <w:r>
              <w:t>能量熵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II (30-2)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96.86%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96.08%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能量熵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II (30-2)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94.12%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93.33%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91.76%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94.51%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VMD </w:t>
            </w:r>
            <w:r>
              <w:t xml:space="preserve"> </w:t>
            </w:r>
            <w:r>
              <w:t>模糊熵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II (30-2)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99.61%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92.16%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99.61%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99.22%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模糊熵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II (30-2)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94.90%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97.25%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95.69%</w:t>
            </w:r>
          </w:p>
        </w:tc>
        <w:tc>
          <w:tcPr>
            <w:tcW w:type="dxa" w:w="144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95.29%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整体区间 </w:t>
      </w:r>
      <w:r>
        <w:rPr>
          <w:b/>
        </w:rPr>
        <w:t>91.76% ~ 99.61%</w:t>
      </w:r>
      <w:r>
        <w:rPr>
          <w:rFonts w:ascii="Microsoft YaHei" w:eastAsia="Microsoft YaHei" w:hAnsi="Microsoft YaHei" w:cs="Microsoft YaHei" w:hint="eastAsia"/>
          <w:lang w:eastAsia="zh-CN"/>
        </w:rPr>
        <w:t>，其中多数低于本文的</w:t>
      </w:r>
      <w:r>
        <w:t xml:space="preserve"> 99.85%~100%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三、表 B：同库，"局部/设置不同"的较低结果（可作量级参照，须注明）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 xml:space="preserve">SEU 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设置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准确率</w:t>
            </w:r>
          </w:p>
        </w:tc>
        <w:tc>
          <w:tcPr>
            <w:tcW w:type="dxa" w:w="1728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与本文关系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SVMD </w:t>
            </w:r>
            <w:r>
              <w:t xml:space="preserve"> </w:t>
            </w:r>
            <w:r>
              <w:t>熵论文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引文（</w:t>
            </w:r>
            <w:r>
              <w:t xml:space="preserve"> </w:t>
            </w:r>
            <w:r>
              <w:t>K-NN / SVM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20-0 / 30-2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轴承 </w:t>
            </w:r>
            <w:r>
              <w:rPr>
                <w:b/>
              </w:rPr>
              <w:t>80.80~88.60%</w:t>
            </w:r>
            <w:r>
              <w:t xml:space="preserve"> ；齿轮 </w:t>
            </w:r>
            <w:r>
              <w:rPr>
                <w:b/>
              </w:rPr>
              <w:t>89.20~94.40%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更低，但为 </w:t>
            </w:r>
            <w:r>
              <w:rPr>
                <w:b/>
              </w:rPr>
              <w:t>转引</w:t>
            </w:r>
            <w:r>
              <w:t xml:space="preserve"> ，出处标注存疑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SCBM-Net, Sci. Rep. 2025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轴承 </w:t>
            </w:r>
            <w:r>
              <w:rPr>
                <w:b/>
              </w:rPr>
              <w:t>10 类</w:t>
            </w:r>
            <w:r>
              <w:t xml:space="preserve"> （两工况合并）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70:30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98.33%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类别数不同（</w:t>
            </w:r>
            <w:r>
              <w:t xml:space="preserve"> </w:t>
            </w:r>
            <w:r>
              <w:t>10 vs 5</w:t>
            </w:r>
            <w:r>
              <w:t xml:space="preserve"> </w:t>
            </w:r>
            <w:r>
              <w:t>），仅作量级参照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SAGAN-IResNet, Sci. Rep. 2025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少样本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以生成样本训练（表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92.57% ~ 98.50%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少样本设置，非标准设置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ADAMFFN, Machines 2025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 xml:space="preserve">齿轮 </w:t>
            </w:r>
            <w:r>
              <w:rPr>
                <w:b/>
              </w:rPr>
              <w:t>跨工况</w:t>
            </w:r>
            <w:r>
              <w:t xml:space="preserve"> C1→C2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迁移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平均</w:t>
            </w:r>
            <w:r>
              <w:t xml:space="preserve"> </w:t>
            </w:r>
            <w:r>
              <w:t xml:space="preserve"> 94.54%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任务不同（跨工况更难）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WDATL, Wiley 2021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轴承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齿轮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0→1 迁移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迁移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平均</w:t>
            </w:r>
            <w:r>
              <w:t xml:space="preserve"> </w:t>
            </w:r>
            <w:r>
              <w:t xml:space="preserve"> 76.17%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CNN </w:t>
            </w:r>
            <w:r>
              <w:t xml:space="preserve"> </w:t>
            </w:r>
            <w:r>
              <w:t>基线</w:t>
            </w:r>
            <w:r>
              <w:t xml:space="preserve"> </w:t>
            </w:r>
            <w:r>
              <w:t xml:space="preserve"> 33.65%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任务不同（跨工况更难）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四、本文基准（8 组合最终测试，密封测试集）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216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网络</w:t>
            </w:r>
          </w:p>
        </w:tc>
        <w:tc>
          <w:tcPr>
            <w:tcW w:type="dxa" w:w="216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20-0</w:t>
            </w:r>
          </w:p>
        </w:tc>
        <w:tc>
          <w:tcPr>
            <w:tcW w:type="dxa" w:w="2160"/>
            <w:tcBorders>
              <w:top w:val="single" w:sz="6" w:space="0" w:color="0F3D6E"/>
              <w:bottom w:val="single" w:sz="6" w:space="0" w:color="0F3D6E"/>
              <w:left w:val="single" w:sz="6" w:space="0" w:color="0F3D6E"/>
              <w:right w:val="single" w:sz="6" w:space="0" w:color="0F3D6E"/>
            </w:tcBorders>
            <w:shd w:val="clear" w:color="auto" w:fill="0F3D6E"/>
            <w:vAlign w:val="center"/>
            <w:tcMar>
              <w:top w:w="105" w:type="dxa"/>
              <w:bottom w:w="10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30-2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CNN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99.85%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轴承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GCN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99.85%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100%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CNN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99.54%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98.15%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齿轮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GCN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99.85%</w:t>
            </w:r>
          </w:p>
        </w:tc>
        <w:tc>
          <w:tcPr>
            <w:tcW w:type="dxa" w:w="2160"/>
            <w:vAlign w:val="center"/>
            <w:tcBorders>
              <w:top w:val="single" w:sz="6" w:space="0" w:color="C8D6E3"/>
              <w:bottom w:val="single" w:sz="6" w:space="0" w:color="C8D6E3"/>
              <w:left w:val="single" w:sz="6" w:space="0" w:color="C8D6E3"/>
              <w:right w:val="single" w:sz="6" w:space="0" w:color="C8D6E3"/>
            </w:tcBorders>
            <w:shd w:val="clear" w:color="auto" w:fill="F6FAFD"/>
            <w:tcMar>
              <w:top w:w="90" w:type="dxa"/>
              <w:bottom w:w="90" w:type="dxa"/>
              <w:left w:w="135" w:type="dxa"/>
              <w:right w:w="135" w:type="dxa"/>
            </w:tcMar>
          </w:tcPr>
          <w:p>
            <w:pPr>
              <w:spacing w:line="240" w:lineRule="auto" w:before="60" w:after="60"/>
            </w:pPr>
            <w:r>
              <w:t>97.69%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五、写作建议与诚实边界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推荐写法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  <w:r/>
      <w:r>
        <w:rPr>
          <w:rFonts w:ascii="Microsoft YaHei" w:eastAsia="Microsoft YaHei" w:hAnsi="Microsoft YaHei" w:cs="Microsoft YaHei" w:hint="eastAsia"/>
          <w:lang w:eastAsia="zh-CN"/>
        </w:rPr>
        <w:t>在同一个</w:t>
      </w:r>
      <w:r>
        <w:t xml:space="preserve"> SEU </w:t>
      </w:r>
      <w:r>
        <w:rPr>
          <w:rFonts w:ascii="Microsoft YaHei" w:eastAsia="Microsoft YaHei" w:hAnsi="Microsoft YaHei" w:cs="Microsoft YaHei" w:hint="eastAsia"/>
          <w:lang w:eastAsia="zh-CN"/>
        </w:rPr>
        <w:t>数据集、同一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分类任务、同一准确率指标下，文献中传统信号分解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机器学习方法（</w:t>
      </w:r>
      <w:r>
        <w:t xml:space="preserve">VMD/SVMD </w:t>
      </w:r>
      <w:r>
        <w:rPr>
          <w:rFonts w:ascii="Microsoft YaHei" w:eastAsia="Microsoft YaHei" w:hAnsi="Microsoft YaHei" w:cs="Microsoft YaHei" w:hint="eastAsia"/>
          <w:lang w:eastAsia="zh-CN"/>
        </w:rPr>
        <w:t>熵</w:t>
      </w:r>
      <w:r>
        <w:t xml:space="preserve"> + SVM/k-NN/RF/GBDT</w:t>
      </w:r>
      <w:r>
        <w:rPr>
          <w:rFonts w:ascii="Microsoft YaHei" w:eastAsia="Microsoft YaHei" w:hAnsi="Microsoft YaHei" w:cs="Microsoft YaHei" w:hint="eastAsia"/>
          <w:lang w:eastAsia="zh-CN"/>
        </w:rPr>
        <w:t>）在齿轮任务上为</w:t>
      </w:r>
      <w:r>
        <w:t xml:space="preserve"> 89.41%~96.02%</w:t>
      </w:r>
      <w:r>
        <w:rPr>
          <w:rFonts w:ascii="Microsoft YaHei" w:eastAsia="Microsoft YaHei" w:hAnsi="Microsoft YaHei" w:cs="Microsoft YaHei" w:hint="eastAsia"/>
          <w:lang w:eastAsia="zh-CN"/>
        </w:rPr>
        <w:t>、轴承</w:t>
      </w:r>
      <w:r>
        <w:t xml:space="preserve"> 30-2 </w:t>
      </w:r>
      <w:r>
        <w:rPr>
          <w:rFonts w:ascii="Microsoft YaHei" w:eastAsia="Microsoft YaHei" w:hAnsi="Microsoft YaHei" w:cs="Microsoft YaHei" w:hint="eastAsia"/>
          <w:lang w:eastAsia="zh-CN"/>
        </w:rPr>
        <w:t>工况为</w:t>
      </w:r>
      <w:r>
        <w:t xml:space="preserve"> 94.12%~97.25%</w:t>
      </w:r>
      <w:r>
        <w:rPr>
          <w:rFonts w:ascii="Microsoft YaHei" w:eastAsia="Microsoft YaHei" w:hAnsi="Microsoft YaHei" w:cs="Microsoft YaHei" w:hint="eastAsia"/>
          <w:lang w:eastAsia="zh-CN"/>
        </w:rPr>
        <w:t>；本文在完全相同的数据集与任务上分别为</w:t>
      </w:r>
      <w:r>
        <w:t xml:space="preserve"> 97.69%~99.85%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99.85%~100%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在同等任务上高出 1.7~8.3 个百分点</w:t>
      </w:r>
      <w:r>
        <w:rPr>
          <w:rFonts w:ascii="Microsoft YaHei" w:eastAsia="Microsoft YaHei" w:hAnsi="Microsoft YaHei" w:cs="Microsoft YaHei" w:hint="eastAsia"/>
          <w:lang w:eastAsia="zh-CN"/>
        </w:rPr>
        <w:t>，且模型参数量仅</w:t>
      </w:r>
      <w:r>
        <w:t xml:space="preserve"> 2.5 </w:t>
      </w:r>
      <w:r>
        <w:rPr>
          <w:rFonts w:ascii="Microsoft YaHei" w:eastAsia="Microsoft YaHei" w:hAnsi="Microsoft YaHei" w:cs="Microsoft YaHei" w:hint="eastAsia"/>
          <w:lang w:eastAsia="zh-CN"/>
        </w:rPr>
        <w:t>万（比主流深度网络小</w:t>
      </w:r>
      <w:r>
        <w:t xml:space="preserve"> 2~3 </w:t>
      </w:r>
      <w:r>
        <w:rPr>
          <w:rFonts w:ascii="Microsoft YaHei" w:eastAsia="Microsoft YaHei" w:hAnsi="Microsoft YaHei" w:cs="Microsoft YaHei" w:hint="eastAsia"/>
          <w:lang w:eastAsia="zh-CN"/>
        </w:rPr>
        <w:t>个数量级）。</w:t>
      </w:r>
      <w:r/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必须注明的话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上述对照对象是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传统信号分解 + 传统机器学习</w:t>
      </w:r>
      <w:r>
        <w:rPr>
          <w:rFonts w:ascii="Microsoft YaHei" w:eastAsia="Microsoft YaHei" w:hAnsi="Microsoft YaHei" w:cs="Microsoft YaHei" w:hint="eastAsia"/>
          <w:lang w:eastAsia="zh-CN"/>
        </w:rPr>
        <w:t>，不是最先进的深度网络，引用时明确写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相较文献中的传统方法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该文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划分方式可能为随机划分</w:t>
      </w:r>
      <w:r>
        <w:rPr>
          <w:rFonts w:ascii="Microsoft YaHei" w:eastAsia="Microsoft YaHei" w:hAnsi="Microsoft YaHei" w:cs="Microsoft YaHei" w:hint="eastAsia"/>
          <w:lang w:eastAsia="zh-CN"/>
        </w:rPr>
        <w:t>（传统机器学习常用），本文为时间有序划分，两者含金量不同，引用需说明；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跨工况迁移类结果（</w:t>
      </w:r>
      <w:r>
        <w:t>ADAMFFN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WDATL</w:t>
      </w:r>
      <w:r>
        <w:rPr>
          <w:rFonts w:ascii="Microsoft YaHei" w:eastAsia="Microsoft YaHei" w:hAnsi="Microsoft YaHei" w:cs="Microsoft YaHei" w:hint="eastAsia"/>
          <w:lang w:eastAsia="zh-CN"/>
        </w:rPr>
        <w:t>）属</w:t>
      </w:r>
      <w:r>
        <w:rPr>
          <w:rFonts w:ascii="Microsoft YaHei" w:eastAsia="Microsoft YaHei" w:hAnsi="Microsoft YaHei" w:cs="Microsoft YaHei" w:hint="eastAsia"/>
          <w:b/>
          <w:lang w:eastAsia="zh-CN"/>
        </w:rPr>
        <w:t>更难的另一种任务</w:t>
      </w:r>
      <w:r>
        <w:rPr>
          <w:rFonts w:ascii="Microsoft YaHei" w:eastAsia="Microsoft YaHei" w:hAnsi="Microsoft YaHei" w:cs="Microsoft YaHei" w:hint="eastAsia"/>
          <w:lang w:eastAsia="zh-CN"/>
        </w:rPr>
        <w:t>，只能作背景，不并入主表；</w:t>
      </w:r>
    </w:p>
    <w:p>
      <w:pPr>
        <w:pStyle w:val="ListNumber"/>
        <w:numPr>
          <w:ilvl w:val="0"/>
          <w:numId w:val="10"/>
        </w:numPr>
        <w:spacing w:before="60" w:after="60"/>
      </w:pPr>
      <w:r>
        <w:t xml:space="preserve">SCBM-Net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类任务、</w:t>
      </w:r>
      <w:r>
        <w:t xml:space="preserve">SAGAN </w:t>
      </w:r>
      <w:r>
        <w:rPr>
          <w:rFonts w:ascii="Microsoft YaHei" w:eastAsia="Microsoft YaHei" w:hAnsi="Microsoft YaHei" w:cs="Microsoft YaHei" w:hint="eastAsia"/>
          <w:lang w:eastAsia="zh-CN"/>
        </w:rPr>
        <w:t>为少样本设置，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类别数/设置不同</w:t>
      </w:r>
      <w:r>
        <w:rPr>
          <w:rFonts w:ascii="Microsoft YaHei" w:eastAsia="Microsoft YaHei" w:hAnsi="Microsoft YaHei" w:cs="Microsoft YaHei" w:hint="eastAsia"/>
          <w:lang w:eastAsia="zh-CN"/>
        </w:rPr>
        <w:t>，仅作量级参照。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3D6E"/>
          <w:sz w:val="28"/>
          <w:lang w:eastAsia="zh-CN"/>
        </w:rPr>
        <w:t>六、出处登记</w:t>
      </w:r>
      <w:r/>
    </w:p>
    <w:p>
      <w:pPr>
        <w:pStyle w:val="ListNumber"/>
        <w:numPr>
          <w:ilvl w:val="0"/>
          <w:numId w:val="11"/>
        </w:numPr>
        <w:spacing w:before="60" w:after="60"/>
      </w:pPr>
      <w:r>
        <w:t xml:space="preserve">Zhang L., Zhang Y., Li G. </w:t>
      </w:r>
      <w:r>
        <w:rPr>
          <w:i/>
        </w:rPr>
        <w:t>Fault-Diagnosis Method for Rotating Machinery Based on SVMD Entropy and Machine Learning.</w:t>
      </w:r>
      <w:r>
        <w:t xml:space="preserve"> </w:t>
      </w:r>
      <w:r>
        <w:rPr>
          <w:b/>
        </w:rPr>
        <w:t>Algorithms</w:t>
      </w:r>
      <w:r>
        <w:t>, 2023, 16(6): 304. DOI: 10.3390/a16060304.</w:t>
      </w:r>
      <w:r>
        <w:rPr>
          <w:rFonts w:ascii="Microsoft YaHei" w:eastAsia="Microsoft YaHei" w:hAnsi="Microsoft YaHei" w:cs="Microsoft YaHei" w:hint="eastAsia"/>
          <w:lang w:eastAsia="zh-CN"/>
        </w:rPr>
        <w:t>（表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>、表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SEU </w:t>
      </w:r>
      <w:r>
        <w:rPr>
          <w:rFonts w:ascii="Microsoft YaHei" w:eastAsia="Microsoft YaHei" w:hAnsi="Microsoft YaHei" w:cs="Microsoft YaHei" w:hint="eastAsia"/>
          <w:lang w:eastAsia="zh-CN"/>
        </w:rPr>
        <w:t>轴承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类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齿轮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类，</w:t>
      </w:r>
      <w:r>
        <w:t xml:space="preserve">20-0/30-2 </w:t>
      </w:r>
      <w:r>
        <w:rPr>
          <w:rFonts w:ascii="Microsoft YaHei" w:eastAsia="Microsoft YaHei" w:hAnsi="Microsoft YaHei" w:cs="Microsoft YaHei" w:hint="eastAsia"/>
          <w:lang w:eastAsia="zh-CN"/>
        </w:rPr>
        <w:t>独立建模）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i/>
        </w:rPr>
        <w:t>SCBM-Net: a multimodal feature fusion-based dual-channel method for bearing fault diagnosis.</w:t>
      </w:r>
      <w:r>
        <w:t xml:space="preserve"> </w:t>
      </w:r>
      <w:r>
        <w:rPr>
          <w:b/>
        </w:rPr>
        <w:t>Scientific Reports</w:t>
      </w:r>
      <w:r>
        <w:t>, 2025.</w:t>
      </w:r>
    </w:p>
    <w:p>
      <w:pPr>
        <w:pStyle w:val="ListNumber"/>
        <w:numPr>
          <w:ilvl w:val="0"/>
          <w:numId w:val="11"/>
        </w:numPr>
        <w:spacing w:before="60" w:after="60"/>
      </w:pPr>
      <w:r>
        <w:t xml:space="preserve">Wang G., Shi N., Yang X., Liu Z., Liu Z. </w:t>
      </w:r>
      <w:r>
        <w:rPr>
          <w:i/>
        </w:rPr>
        <w:t>Bearing fault diagnosis method based on SAGAN and improved ResNet.</w:t>
      </w:r>
      <w:r>
        <w:t xml:space="preserve"> </w:t>
      </w:r>
      <w:r>
        <w:rPr>
          <w:b/>
        </w:rPr>
        <w:t>Scientific Reports</w:t>
      </w:r>
      <w:r>
        <w:t>, 2025, 15. DOI: 10.1038/s41598-025-16771-2.</w:t>
      </w:r>
      <w:r>
        <w:rPr>
          <w:rFonts w:ascii="Microsoft YaHei" w:eastAsia="Microsoft YaHei" w:hAnsi="Microsoft YaHei" w:cs="Microsoft YaHei" w:hint="eastAsia"/>
          <w:lang w:eastAsia="zh-CN"/>
        </w:rPr>
        <w:t>（表</w:t>
      </w:r>
      <w:r>
        <w:t xml:space="preserve"> 3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i/>
        </w:rPr>
        <w:t>Design of a transfer learning fault identification model based on a Markov field and an improved DarkNet.</w:t>
      </w:r>
      <w:r>
        <w:t xml:space="preserve"> </w:t>
      </w:r>
      <w:r>
        <w:rPr>
          <w:b/>
        </w:rPr>
        <w:t>Frontiers in Mechanical Engineering</w:t>
      </w:r>
      <w:r>
        <w:t>, 2026.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ADAMFFN</w:t>
      </w:r>
      <w:r>
        <w:rPr>
          <w:rFonts w:ascii="Microsoft YaHei" w:eastAsia="Microsoft YaHei" w:hAnsi="Microsoft YaHei" w:cs="Microsoft YaHei" w:hint="eastAsia"/>
          <w:lang w:eastAsia="zh-CN"/>
        </w:rPr>
        <w:t>，跨工况）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i/>
        </w:rPr>
        <w:t>Wide-deep adversarial transfer learning...</w:t>
      </w:r>
      <w:r>
        <w:t xml:space="preserve"> </w:t>
      </w:r>
      <w:r>
        <w:rPr>
          <w:b/>
        </w:rPr>
        <w:t>Wiley</w:t>
      </w:r>
      <w:r>
        <w:t>, 2021.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WDATL</w:t>
      </w:r>
      <w:r>
        <w:rPr>
          <w:rFonts w:ascii="Microsoft YaHei" w:eastAsia="Microsoft YaHei" w:hAnsi="Microsoft YaHei" w:cs="Microsoft YaHei" w:hint="eastAsia"/>
          <w:lang w:eastAsia="zh-CN"/>
        </w:rPr>
        <w:t>，跨工况）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Microsoft YaHei" w:hAnsi="Microsoft YaHe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/>
      <w:b/>
      <w:bCs/>
      <w:color w:val="0F3D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30" w:after="0"/>
      <w:outlineLvl w:val="1"/>
    </w:pPr>
    <w:rPr>
      <w:rFonts w:asciiTheme="majorHAnsi" w:eastAsiaTheme="majorEastAsia" w:hAnsiTheme="majorHAnsi" w:cstheme="majorBidi"/>
      <w:b/>
      <w:bCs/>
      <w:color w:val="0F3D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bCs/>
      <w:color w:val="2448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