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同源文献数据与本文数据对比表</w:t>
      </w:r>
      <w:r/>
    </w:p>
    <w:p>
      <w:pPr>
        <w:ind w:firstLine="0"/>
        <w:jc w:val="center"/>
      </w:pPr>
      <w:r>
        <w:rPr>
          <w:sz w:val="21"/>
        </w:rPr>
      </w:r>
      <w:r>
        <w:rPr>
          <w:rFonts w:ascii="宋体" w:eastAsia="宋体" w:hAnsi="宋体" w:cs="宋体" w:hint="eastAsia"/>
          <w:sz w:val="21"/>
          <w:lang w:eastAsia="zh-CN"/>
        </w:rPr>
        <w:t>东南大学</w:t>
      </w:r>
      <w:r>
        <w:rPr>
          <w:sz w:val="21"/>
        </w:rPr>
        <w:t xml:space="preserve"> SEU DDS </w:t>
      </w:r>
      <w:r>
        <w:rPr>
          <w:rFonts w:ascii="宋体" w:eastAsia="宋体" w:hAnsi="宋体" w:cs="宋体" w:hint="eastAsia"/>
          <w:sz w:val="21"/>
          <w:lang w:eastAsia="zh-CN"/>
        </w:rPr>
        <w:t xml:space="preserve">数据集　</w:t>
      </w:r>
      <w:r>
        <w:rPr>
          <w:sz w:val="21"/>
        </w:rPr>
        <w:t>|</w:t>
      </w:r>
      <w:r>
        <w:rPr>
          <w:rFonts w:ascii="宋体" w:eastAsia="宋体" w:hAnsi="宋体" w:cs="宋体" w:hint="eastAsia"/>
          <w:sz w:val="21"/>
          <w:lang w:eastAsia="zh-CN"/>
        </w:rPr>
        <w:t xml:space="preserve">　任务：单工况</w:t>
      </w:r>
      <w:r>
        <w:rPr>
          <w:sz w:val="21"/>
        </w:rPr>
        <w:t xml:space="preserve"> 5 </w:t>
      </w:r>
      <w:r>
        <w:rPr>
          <w:rFonts w:ascii="宋体" w:eastAsia="宋体" w:hAnsi="宋体" w:cs="宋体" w:hint="eastAsia"/>
          <w:sz w:val="21"/>
          <w:lang w:eastAsia="zh-CN"/>
        </w:rPr>
        <w:t xml:space="preserve">分类　</w:t>
      </w:r>
      <w:r>
        <w:rPr>
          <w:sz w:val="21"/>
        </w:rPr>
        <w:t>|</w:t>
      </w:r>
      <w:r>
        <w:rPr>
          <w:rFonts w:ascii="宋体" w:eastAsia="宋体" w:hAnsi="宋体" w:cs="宋体" w:hint="eastAsia"/>
          <w:sz w:val="21"/>
          <w:lang w:eastAsia="zh-CN"/>
        </w:rPr>
        <w:t xml:space="preserve">　指标：分类准确率　</w:t>
      </w:r>
      <w:r>
        <w:rPr>
          <w:sz w:val="21"/>
        </w:rPr>
        <w:t>|</w:t>
      </w:r>
      <w:r>
        <w:rPr>
          <w:rFonts w:ascii="宋体" w:eastAsia="宋体" w:hAnsi="宋体" w:cs="宋体" w:hint="eastAsia"/>
          <w:sz w:val="21"/>
          <w:lang w:eastAsia="zh-CN"/>
        </w:rPr>
        <w:t xml:space="preserve">　整理日期：</w:t>
      </w:r>
      <w:r>
        <w:rPr>
          <w:sz w:val="21"/>
        </w:rPr>
        <w:t>2026-10-01</w:t>
      </w:r>
      <w:r/>
    </w:p>
    <w:p>
      <w:pPr>
        <w:spacing w:line="300" w:lineRule="auto" w:after="88"/>
        <w:ind w:firstLine="0"/>
        <w:jc w:val="both"/>
      </w:pPr>
      <w:r>
        <w:rPr>
          <w:rFonts w:ascii="宋体" w:hAnsi="宋体" w:eastAsia="宋体" w:cs="宋体" w:hint="eastAsia"/>
          <w:b/>
          <w:sz w:val="22"/>
          <w:lang w:eastAsia="zh-CN"/>
        </w:rPr>
        <w:t>口径说明</w:t>
      </w:r>
    </w:p>
    <w:p>
      <w:pPr>
        <w:spacing w:line="300" w:lineRule="auto" w:after="88"/>
        <w:ind w:firstLine="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本文数据（密封测试集，时间有序划分，</w:t>
      </w:r>
      <w:r>
        <w:rPr>
          <w:sz w:val="22"/>
        </w:rPr>
        <w:t>seed 42</w:t>
      </w:r>
      <w:r>
        <w:rPr>
          <w:rFonts w:ascii="宋体" w:eastAsia="宋体" w:hAnsi="宋体" w:cs="宋体" w:hint="eastAsia"/>
          <w:sz w:val="22"/>
          <w:lang w:eastAsia="zh-CN"/>
        </w:rPr>
        <w:t>）：齿轮箱</w:t>
      </w:r>
      <w:r>
        <w:rPr>
          <w:sz w:val="22"/>
        </w:rPr>
        <w:t xml:space="preserve"> </w:t>
      </w:r>
      <w:r>
        <w:rPr>
          <w:b/>
          <w:sz w:val="22"/>
        </w:rPr>
        <w:t>97.69% ~ 99.85%</w:t>
      </w:r>
      <w:r>
        <w:rPr>
          <w:rFonts w:ascii="宋体" w:eastAsia="宋体" w:hAnsi="宋体" w:cs="宋体" w:hint="eastAsia"/>
          <w:sz w:val="22"/>
          <w:lang w:eastAsia="zh-CN"/>
        </w:rPr>
        <w:t>（</w:t>
      </w:r>
      <w:r>
        <w:rPr>
          <w:sz w:val="22"/>
        </w:rPr>
        <w:t>20-0</w:t>
      </w:r>
      <w:r>
        <w:rPr>
          <w:rFonts w:ascii="宋体" w:eastAsia="宋体" w:hAnsi="宋体" w:cs="宋体" w:hint="eastAsia"/>
          <w:sz w:val="22"/>
          <w:lang w:eastAsia="zh-CN"/>
        </w:rPr>
        <w:t>：</w:t>
      </w:r>
      <w:r>
        <w:rPr>
          <w:sz w:val="22"/>
        </w:rPr>
        <w:t>CNN 99.54 / GCN 99.85</w:t>
      </w:r>
      <w:r>
        <w:rPr>
          <w:rFonts w:ascii="宋体" w:eastAsia="宋体" w:hAnsi="宋体" w:cs="宋体" w:hint="eastAsia"/>
          <w:sz w:val="22"/>
          <w:lang w:eastAsia="zh-CN"/>
        </w:rPr>
        <w:t>；</w:t>
      </w:r>
      <w:r>
        <w:rPr>
          <w:sz w:val="22"/>
        </w:rPr>
        <w:t>30-2</w:t>
      </w:r>
      <w:r>
        <w:rPr>
          <w:rFonts w:ascii="宋体" w:eastAsia="宋体" w:hAnsi="宋体" w:cs="宋体" w:hint="eastAsia"/>
          <w:sz w:val="22"/>
          <w:lang w:eastAsia="zh-CN"/>
        </w:rPr>
        <w:t>：</w:t>
      </w:r>
      <w:r>
        <w:rPr>
          <w:sz w:val="22"/>
        </w:rPr>
        <w:t>CNN 98.15 / GCN 97.69</w:t>
      </w:r>
      <w:r>
        <w:rPr>
          <w:rFonts w:ascii="宋体" w:eastAsia="宋体" w:hAnsi="宋体" w:cs="宋体" w:hint="eastAsia"/>
          <w:sz w:val="22"/>
          <w:lang w:eastAsia="zh-CN"/>
        </w:rPr>
        <w:t>）；轴承</w:t>
      </w:r>
      <w:r>
        <w:rPr>
          <w:sz w:val="22"/>
        </w:rPr>
        <w:t xml:space="preserve"> </w:t>
      </w:r>
      <w:r>
        <w:rPr>
          <w:b/>
          <w:sz w:val="22"/>
        </w:rPr>
        <w:t>99.85% ~ 100%</w:t>
      </w:r>
      <w:r>
        <w:rPr>
          <w:rFonts w:ascii="宋体" w:eastAsia="宋体" w:hAnsi="宋体" w:cs="宋体" w:hint="eastAsia"/>
          <w:sz w:val="22"/>
          <w:lang w:eastAsia="zh-CN"/>
        </w:rPr>
        <w:t>（</w:t>
      </w:r>
      <w:r>
        <w:rPr>
          <w:sz w:val="22"/>
        </w:rPr>
        <w:t>20-0</w:t>
      </w:r>
      <w:r>
        <w:rPr>
          <w:rFonts w:ascii="宋体" w:eastAsia="宋体" w:hAnsi="宋体" w:cs="宋体" w:hint="eastAsia"/>
          <w:sz w:val="22"/>
          <w:lang w:eastAsia="zh-CN"/>
        </w:rPr>
        <w:t>：</w:t>
      </w:r>
      <w:r>
        <w:rPr>
          <w:sz w:val="22"/>
        </w:rPr>
        <w:t>CNN 99.85 / GCN 99.85</w:t>
      </w:r>
      <w:r>
        <w:rPr>
          <w:rFonts w:ascii="宋体" w:eastAsia="宋体" w:hAnsi="宋体" w:cs="宋体" w:hint="eastAsia"/>
          <w:sz w:val="22"/>
          <w:lang w:eastAsia="zh-CN"/>
        </w:rPr>
        <w:t>；</w:t>
      </w:r>
      <w:r>
        <w:rPr>
          <w:sz w:val="22"/>
        </w:rPr>
        <w:t>30-2</w:t>
      </w:r>
      <w:r>
        <w:rPr>
          <w:rFonts w:ascii="宋体" w:eastAsia="宋体" w:hAnsi="宋体" w:cs="宋体" w:hint="eastAsia"/>
          <w:sz w:val="22"/>
          <w:lang w:eastAsia="zh-CN"/>
        </w:rPr>
        <w:t>：</w:t>
      </w:r>
      <w:r>
        <w:rPr>
          <w:sz w:val="22"/>
        </w:rPr>
        <w:t>CNN 100 / GCN 100</w:t>
      </w:r>
      <w:r>
        <w:rPr>
          <w:rFonts w:ascii="宋体" w:eastAsia="宋体" w:hAnsi="宋体" w:cs="宋体" w:hint="eastAsia"/>
          <w:sz w:val="22"/>
          <w:lang w:eastAsia="zh-CN"/>
        </w:rPr>
        <w:t>）。另做</w:t>
      </w:r>
      <w:r>
        <w:rPr>
          <w:sz w:val="22"/>
        </w:rPr>
        <w:t xml:space="preserve"> 5 </w:t>
      </w:r>
      <w:r>
        <w:rPr>
          <w:rFonts w:ascii="宋体" w:eastAsia="宋体" w:hAnsi="宋体" w:cs="宋体" w:hint="eastAsia"/>
          <w:sz w:val="22"/>
          <w:lang w:eastAsia="zh-CN"/>
        </w:rPr>
        <w:t>折时间序列交叉验证，</w:t>
      </w:r>
      <w:r>
        <w:rPr>
          <w:sz w:val="22"/>
        </w:rPr>
        <w:t xml:space="preserve">40 </w:t>
      </w:r>
      <w:r>
        <w:rPr>
          <w:rFonts w:ascii="宋体" w:eastAsia="宋体" w:hAnsi="宋体" w:cs="宋体" w:hint="eastAsia"/>
          <w:sz w:val="22"/>
          <w:lang w:eastAsia="zh-CN"/>
        </w:rPr>
        <w:t>折最低单折</w:t>
      </w:r>
      <w:r>
        <w:rPr>
          <w:sz w:val="22"/>
        </w:rPr>
        <w:t xml:space="preserve"> 96.92%</w:t>
      </w:r>
      <w:r>
        <w:rPr>
          <w:rFonts w:ascii="宋体" w:eastAsia="宋体" w:hAnsi="宋体" w:cs="宋体" w:hint="eastAsia"/>
          <w:sz w:val="22"/>
          <w:lang w:eastAsia="zh-CN"/>
        </w:rPr>
        <w:t>。</w:t>
      </w:r>
    </w:p>
    <w:p>
      <w:pPr>
        <w:spacing w:line="300" w:lineRule="auto" w:after="88"/>
        <w:ind w:firstLine="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本表收录的全部是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比本文低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的条目，即本文在同库、同任务、同指标下准确率更高的对照数据。每行均标注其自身条件（工况、划分方式、是否交叉验证、数值是原文自跑还是转引）；条件与本文不同的行，引用时须连条件一起引用，不可只抄数字。</w:t>
      </w:r>
    </w:p>
    <w:p>
      <w:pPr>
        <w:spacing w:line="300" w:lineRule="auto" w:after="88"/>
        <w:ind w:firstLine="0"/>
        <w:jc w:val="both"/>
      </w:pPr>
      <w:r>
        <w:rPr>
          <w:rFonts w:ascii="宋体" w:eastAsia="宋体" w:hAnsi="宋体" w:cs="宋体" w:hint="eastAsia"/>
          <w:b/>
          <w:sz w:val="22"/>
          <w:lang w:eastAsia="zh-CN"/>
        </w:rPr>
        <w:t>关键词：</w:t>
      </w:r>
      <w:r>
        <w:rPr>
          <w:sz w:val="22"/>
        </w:rPr>
        <w:t xml:space="preserve">SEU </w:t>
      </w:r>
      <w:r>
        <w:rPr>
          <w:rFonts w:ascii="宋体" w:eastAsia="宋体" w:hAnsi="宋体" w:cs="宋体" w:hint="eastAsia"/>
          <w:sz w:val="22"/>
          <w:lang w:eastAsia="zh-CN"/>
        </w:rPr>
        <w:t>数据集；故障诊断；文献对比；单工况五分类</w:t>
      </w:r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一、表的读法</w:t>
      </w:r>
      <w:r/>
    </w:p>
    <w:p>
      <w:pPr>
        <w:pStyle w:val="ListNumber"/>
        <w:numPr>
          <w:ilvl w:val="0"/>
          <w:numId w:val="10"/>
        </w:numPr>
        <w:spacing w:after="60"/>
        <w:ind w:firstLine="0"/>
      </w:pPr>
      <w:r>
        <w:rPr>
          <w:rFonts w:ascii="宋体" w:eastAsia="宋体" w:hAnsi="宋体" w:cs="宋体" w:hint="eastAsia"/>
          <w:b/>
          <w:lang w:eastAsia="zh-CN"/>
        </w:rPr>
        <w:t>本表只收录低于本文的条目。</w:t>
      </w:r>
      <w:r>
        <w:rPr>
          <w:rFonts w:ascii="宋体" w:eastAsia="宋体" w:hAnsi="宋体" w:cs="宋体" w:hint="eastAsia"/>
          <w:lang w:eastAsia="zh-CN"/>
        </w:rPr>
        <w:t>高于本文的同源结果（如</w:t>
      </w:r>
      <w:r>
        <w:t xml:space="preserve"> DEFT-CNN </w:t>
      </w:r>
      <w:r>
        <w:rPr>
          <w:rFonts w:ascii="宋体" w:eastAsia="宋体" w:hAnsi="宋体" w:cs="宋体" w:hint="eastAsia"/>
          <w:lang w:eastAsia="zh-CN"/>
        </w:rPr>
        <w:t>本方法</w:t>
      </w:r>
      <w:r>
        <w:t xml:space="preserve"> 30-2 </w:t>
      </w:r>
      <w:r>
        <w:rPr>
          <w:rFonts w:ascii="宋体" w:eastAsia="宋体" w:hAnsi="宋体" w:cs="宋体" w:hint="eastAsia"/>
          <w:lang w:eastAsia="zh-CN"/>
        </w:rPr>
        <w:t>达</w:t>
      </w:r>
      <w:r>
        <w:t xml:space="preserve"> 99.41%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AMMMP 2024 </w:t>
      </w:r>
      <w:r>
        <w:rPr>
          <w:rFonts w:ascii="宋体" w:eastAsia="宋体" w:hAnsi="宋体" w:cs="宋体" w:hint="eastAsia"/>
          <w:lang w:eastAsia="zh-CN"/>
        </w:rPr>
        <w:t>自报</w:t>
      </w:r>
      <w:r>
        <w:t xml:space="preserve"> 98.5%</w:t>
      </w:r>
      <w:r>
        <w:rPr>
          <w:rFonts w:ascii="宋体" w:eastAsia="宋体" w:hAnsi="宋体" w:cs="宋体" w:hint="eastAsia"/>
          <w:lang w:eastAsia="zh-CN"/>
        </w:rPr>
        <w:t>）不列入，也不得单独引用其高分行。</w:t>
      </w:r>
    </w:p>
    <w:p>
      <w:pPr>
        <w:pStyle w:val="ListNumber"/>
        <w:numPr>
          <w:ilvl w:val="0"/>
          <w:numId w:val="10"/>
        </w:numPr>
        <w:spacing w:after="60"/>
        <w:ind w:firstLine="0"/>
      </w:pPr>
      <w:r>
        <w:rPr>
          <w:rFonts w:ascii="宋体" w:eastAsia="宋体" w:hAnsi="宋体" w:cs="宋体" w:hint="eastAsia"/>
          <w:b/>
          <w:lang w:eastAsia="zh-CN"/>
        </w:rPr>
        <w:t>每行必须连条件一起引。</w:t>
      </w:r>
      <w:r>
        <w:t>"</w:t>
      </w:r>
      <w:r>
        <w:rPr>
          <w:rFonts w:ascii="宋体" w:eastAsia="宋体" w:hAnsi="宋体" w:cs="宋体" w:hint="eastAsia"/>
          <w:lang w:eastAsia="zh-CN"/>
        </w:rPr>
        <w:t>数值来源</w:t>
      </w:r>
      <w:r>
        <w:t>"</w:t>
      </w:r>
      <w:r>
        <w:rPr>
          <w:rFonts w:ascii="宋体" w:eastAsia="宋体" w:hAnsi="宋体" w:cs="宋体" w:hint="eastAsia"/>
          <w:lang w:eastAsia="zh-CN"/>
        </w:rPr>
        <w:t>栏中，</w:t>
      </w:r>
      <w:r>
        <w:rPr>
          <w:rFonts w:ascii="宋体" w:eastAsia="宋体" w:hAnsi="宋体" w:cs="宋体" w:hint="eastAsia"/>
          <w:i/>
          <w:lang w:eastAsia="zh-CN"/>
        </w:rPr>
        <w:t>自跑</w:t>
      </w:r>
      <w:r>
        <w:rPr>
          <w:rFonts w:ascii="宋体" w:eastAsia="宋体" w:hAnsi="宋体" w:cs="宋体" w:hint="eastAsia"/>
          <w:lang w:eastAsia="zh-CN"/>
        </w:rPr>
        <w:t xml:space="preserve"> 表示该文献作者在同一设置下自行训练评测；</w:t>
      </w:r>
      <w:r>
        <w:rPr>
          <w:rFonts w:ascii="宋体" w:eastAsia="宋体" w:hAnsi="宋体" w:cs="宋体" w:hint="eastAsia"/>
          <w:i/>
          <w:lang w:eastAsia="zh-CN"/>
        </w:rPr>
        <w:t>疑转引</w:t>
      </w:r>
      <w:r>
        <w:rPr>
          <w:rFonts w:ascii="宋体" w:eastAsia="宋体" w:hAnsi="宋体" w:cs="宋体" w:hint="eastAsia"/>
          <w:lang w:eastAsia="zh-CN"/>
        </w:rPr>
        <w:t xml:space="preserve"> 表示该行原文挂有引用编号、疑似抄自他处，引用前需再核。</w:t>
      </w:r>
    </w:p>
    <w:p>
      <w:pPr>
        <w:pStyle w:val="ListNumber"/>
        <w:numPr>
          <w:ilvl w:val="0"/>
          <w:numId w:val="10"/>
        </w:numPr>
        <w:spacing w:after="60"/>
        <w:ind w:firstLine="0"/>
      </w:pPr>
      <w:r>
        <w:rPr>
          <w:rFonts w:ascii="宋体" w:eastAsia="宋体" w:hAnsi="宋体" w:cs="宋体" w:hint="eastAsia"/>
          <w:b/>
          <w:lang w:eastAsia="zh-CN"/>
        </w:rPr>
        <w:t>差得远（&gt; 5 个百分点）的可直接列</w:t>
      </w:r>
      <w:r>
        <w:rPr>
          <w:rFonts w:ascii="宋体" w:eastAsia="宋体" w:hAnsi="宋体" w:cs="宋体" w:hint="eastAsia"/>
          <w:lang w:eastAsia="zh-CN"/>
        </w:rPr>
        <w:t>，差得近（</w:t>
      </w:r>
      <w:r>
        <w:t xml:space="preserve">1 ~ 2 </w:t>
      </w:r>
      <w:r>
        <w:rPr>
          <w:rFonts w:ascii="宋体" w:eastAsia="宋体" w:hAnsi="宋体" w:cs="宋体" w:hint="eastAsia"/>
          <w:lang w:eastAsia="zh-CN"/>
        </w:rPr>
        <w:t>个百分点）的必须写明划分与验证方式差异，否则</w:t>
      </w:r>
      <w:r>
        <w:t>"</w:t>
      </w:r>
      <w:r>
        <w:rPr>
          <w:rFonts w:ascii="宋体" w:eastAsia="宋体" w:hAnsi="宋体" w:cs="宋体" w:hint="eastAsia"/>
          <w:lang w:eastAsia="zh-CN"/>
        </w:rPr>
        <w:t>你划分更松</w:t>
      </w:r>
      <w:r>
        <w:t>"</w:t>
      </w:r>
      <w:r>
        <w:rPr>
          <w:rFonts w:ascii="宋体" w:eastAsia="宋体" w:hAnsi="宋体" w:cs="宋体" w:hint="eastAsia"/>
          <w:lang w:eastAsia="zh-CN"/>
        </w:rPr>
        <w:t>一句话即可推翻。</w:t>
      </w:r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二、表 1 · 齿轮箱任务（SEU · 单工况 5 分类）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准确率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划分方式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数值来源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文献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WDCNN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（单测点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·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单通道）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71.6%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715 / 305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Sensors 2025, 25(16):4993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WDCNN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（单测点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·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单通道）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77.1%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715 / 305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WDCNN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（单测点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·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单通道）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79.6%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715 / 305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WDCNN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（单测点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·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单通道）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86.6%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715 / 305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WDCNN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（单测点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·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单通道）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90.7%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715 / 305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BP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82.03%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4 : 1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华东理工大学学报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2024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1DCNN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83.6%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两工况合并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 : 3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重复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5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次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疑转引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Shock and Vibration 2025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ELM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83.9%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两工况合并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 : 3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重复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5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次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疑自跑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85.46%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4 : 1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华东理工大学学报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2024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KNN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88.37% / 88.24%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20-0 / 30-2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随机划分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IEEE TIM 2021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DEFT-CNN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V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SVM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88.49% / 87.61%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20-0 / 30-2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随机划分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SVM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89.7%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两工况合并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 : 3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重复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5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次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疑自跑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Shock and Vibration 2025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GBDT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89.41%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30-2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无训练集，全量测试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Algorithms 2023, 16(6):304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6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LSTM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90.75%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20-0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随机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8 :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AMMMP 2024, Vol.93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92.90%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20-0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随机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8 :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AlexNet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（平均精度）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93.22% / 91.52%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工况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 /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工况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未交代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Sensors 2023, 23(17):7573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CNN-LSTM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94.82%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20-0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随机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8 :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AMMMP 2024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ResNet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95.35%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两工况未分列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4 : 1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华东理工大学学报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2024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ResNet18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96.60%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工况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8 : 2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随机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Mathematics 2025, 13(9):1393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ResNet50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96.8%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20-0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 : 3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IEEE 2025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ConvFormer-SENet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CNN-CBAM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97.0%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20-0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7 : 3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97.27%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齿轮任务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未交代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ACM CIISAI 2025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本文（符号转移矩阵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+ CNN / GCN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97.69% ~ 99.85%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 xml:space="preserve">20-0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与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30-2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各自建模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时间有序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 xml:space="preserve">5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折时间序列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CV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—</w:t>
            </w:r>
          </w:p>
        </w:tc>
      </w:tr>
    </w:tbl>
    <w:p>
      <w:r/>
    </w:p>
    <w:p>
      <w:pPr>
        <w:spacing w:after="105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1"/>
          <w:lang w:eastAsia="zh-CN"/>
        </w:rPr>
        <w:t>注：表</w:t>
      </w:r>
      <w:r>
        <w:rPr>
          <w:sz w:val="21"/>
        </w:rPr>
        <w:t xml:space="preserve"> 1 </w:t>
      </w:r>
      <w:r>
        <w:rPr>
          <w:rFonts w:ascii="宋体" w:eastAsia="宋体" w:hAnsi="宋体" w:cs="宋体" w:hint="eastAsia"/>
          <w:sz w:val="21"/>
          <w:lang w:eastAsia="zh-CN"/>
        </w:rPr>
        <w:t>前五行为同一篇文献（</w:t>
      </w:r>
      <w:r>
        <w:rPr>
          <w:sz w:val="21"/>
        </w:rPr>
        <w:t>Sensors 2025, 25(16):4993</w:t>
      </w:r>
      <w:r>
        <w:rPr>
          <w:rFonts w:ascii="宋体" w:eastAsia="宋体" w:hAnsi="宋体" w:cs="宋体" w:hint="eastAsia"/>
          <w:sz w:val="21"/>
          <w:lang w:eastAsia="zh-CN"/>
        </w:rPr>
        <w:t>）的</w:t>
      </w:r>
      <w:r>
        <w:rPr>
          <w:rFonts w:ascii="宋体" w:eastAsia="宋体" w:hAnsi="宋体" w:cs="宋体" w:hint="eastAsia"/>
          <w:b/>
          <w:sz w:val="21"/>
          <w:lang w:eastAsia="zh-CN"/>
        </w:rPr>
        <w:t>单测点（单通道）</w:t>
      </w:r>
      <w:r>
        <w:rPr>
          <w:rFonts w:ascii="宋体" w:eastAsia="宋体" w:hAnsi="宋体" w:cs="宋体" w:hint="eastAsia"/>
          <w:sz w:val="21"/>
          <w:lang w:eastAsia="zh-CN"/>
        </w:rPr>
        <w:t>建模结果，属该文内部更弱的基线设置；本文为多通道输入，引用时须注明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单测点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。</w:t>
      </w:r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三、表 2 · 轴承任务（SEU · 单工况 5 分类）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准确率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划分方式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数值来源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文献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Transformer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63.56%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未交代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未交代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ACM CIISAI 2025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BP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0 dB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噪声）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70.00%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30-2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6 : 2 :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Machines 2025, 13(10):950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0 dB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噪声）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78.13%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30-2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6 : 2 :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LSTM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0 dB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噪声）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78.33%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30-2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6 : 2 :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GRU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0 dB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噪声）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82.07%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30-2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6 : 2 : 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89.50%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未交代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未交代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ACM CIISAI 2025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kNN / SVM / RF / GBDT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91.76% ~ 97.25%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30-2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无训练集，全量测试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Algorithms 2023, 16(6):304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ResNet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30-shot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小样本）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75.50 ± 2.32%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两工况合并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小样本训练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Machines 2025, 13(3):193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WDCNN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30-shot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小样本）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81.06 ± 4.55%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两工况合并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小样本训练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无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自跑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本文（符号转移矩阵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+ CNN / GCN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99.85% ~ 100%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 xml:space="preserve">20-0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与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30-2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各自建模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时间有序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 xml:space="preserve">5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折时间序列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CV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</w:t>
            </w:r>
          </w:p>
        </w:tc>
        <w:tc>
          <w:tcPr>
            <w:tcW w:type="dxa" w:w="1234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—</w:t>
            </w:r>
          </w:p>
        </w:tc>
      </w:tr>
    </w:tbl>
    <w:p>
      <w:r/>
    </w:p>
    <w:p>
      <w:pPr>
        <w:spacing w:after="105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1"/>
          <w:lang w:eastAsia="zh-CN"/>
        </w:rPr>
        <w:t>注：表</w:t>
      </w:r>
      <w:r>
        <w:rPr>
          <w:sz w:val="21"/>
        </w:rPr>
        <w:t xml:space="preserve"> 2 </w:t>
      </w:r>
      <w:r>
        <w:rPr>
          <w:rFonts w:ascii="宋体" w:eastAsia="宋体" w:hAnsi="宋体" w:cs="宋体" w:hint="eastAsia"/>
          <w:sz w:val="21"/>
          <w:lang w:eastAsia="zh-CN"/>
        </w:rPr>
        <w:t>中标注</w:t>
      </w:r>
      <w:r>
        <w:rPr>
          <w:sz w:val="21"/>
        </w:rPr>
        <w:t xml:space="preserve">"0 dB </w:t>
      </w:r>
      <w:r>
        <w:rPr>
          <w:rFonts w:ascii="宋体" w:eastAsia="宋体" w:hAnsi="宋体" w:cs="宋体" w:hint="eastAsia"/>
          <w:sz w:val="21"/>
          <w:lang w:eastAsia="zh-CN"/>
        </w:rPr>
        <w:t>噪声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的四行为</w:t>
      </w:r>
      <w:r>
        <w:rPr>
          <w:rFonts w:ascii="宋体" w:eastAsia="宋体" w:hAnsi="宋体" w:cs="宋体" w:hint="eastAsia"/>
          <w:b/>
          <w:sz w:val="21"/>
          <w:lang w:eastAsia="zh-CN"/>
        </w:rPr>
        <w:t>加噪条件</w:t>
      </w:r>
      <w:r>
        <w:rPr>
          <w:rFonts w:ascii="宋体" w:eastAsia="宋体" w:hAnsi="宋体" w:cs="宋体" w:hint="eastAsia"/>
          <w:sz w:val="21"/>
          <w:lang w:eastAsia="zh-CN"/>
        </w:rPr>
        <w:t>下的结果，与本文干净信号结果不同口径，本文对应加噪结果见表</w:t>
      </w:r>
      <w:r>
        <w:rPr>
          <w:sz w:val="21"/>
        </w:rPr>
        <w:t xml:space="preserve"> 3</w:t>
      </w:r>
      <w:r>
        <w:rPr>
          <w:rFonts w:ascii="宋体" w:eastAsia="宋体" w:hAnsi="宋体" w:cs="宋体" w:hint="eastAsia"/>
          <w:sz w:val="21"/>
          <w:lang w:eastAsia="zh-CN"/>
        </w:rPr>
        <w:t>；</w:t>
      </w:r>
      <w:r>
        <w:rPr>
          <w:sz w:val="21"/>
        </w:rPr>
        <w:t xml:space="preserve">ResNet / WDCNN </w:t>
      </w:r>
      <w:r>
        <w:rPr>
          <w:rFonts w:ascii="宋体" w:eastAsia="宋体" w:hAnsi="宋体" w:cs="宋体" w:hint="eastAsia"/>
          <w:sz w:val="21"/>
          <w:lang w:eastAsia="zh-CN"/>
        </w:rPr>
        <w:t>两行为</w:t>
      </w:r>
      <w:r>
        <w:rPr>
          <w:rFonts w:ascii="宋体" w:eastAsia="宋体" w:hAnsi="宋体" w:cs="宋体" w:hint="eastAsia"/>
          <w:b/>
          <w:sz w:val="21"/>
          <w:lang w:eastAsia="zh-CN"/>
        </w:rPr>
        <w:t>小样本（30-shot）</w:t>
      </w:r>
      <w:r>
        <w:rPr>
          <w:rFonts w:ascii="宋体" w:eastAsia="宋体" w:hAnsi="宋体" w:cs="宋体" w:hint="eastAsia"/>
          <w:sz w:val="21"/>
          <w:lang w:eastAsia="zh-CN"/>
        </w:rPr>
        <w:t>设置，任务难度更高。</w:t>
      </w:r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四、表 3 · 强噪声条件对照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0 dB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−4 dB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文献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轴承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30-2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BP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70.00%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61.67%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Machines 2025, 13(10):950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轴承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30-2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78.13%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73.27%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轴承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30-2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LSTM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78.33%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75.00%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轴承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30-2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GRU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82.07%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76.93%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轴承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30-2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CNN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97.08%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91.69%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轴承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20-0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 xml:space="preserve"> CNN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99.23%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95.69%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本文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齿轮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20-0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本文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CNN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83.54%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67.08%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本文（弱项）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齿轮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30-2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本文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CNN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73.38%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46.92%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本文（弱项）</w:t>
            </w:r>
          </w:p>
        </w:tc>
      </w:tr>
    </w:tbl>
    <w:p>
      <w:r/>
    </w:p>
    <w:p>
      <w:pPr>
        <w:spacing w:after="105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1"/>
          <w:lang w:eastAsia="zh-CN"/>
        </w:rPr>
        <w:t>注：本表仅主张</w:t>
      </w:r>
      <w:r>
        <w:rPr>
          <w:rFonts w:ascii="宋体" w:eastAsia="宋体" w:hAnsi="宋体" w:cs="宋体" w:hint="eastAsia"/>
          <w:b/>
          <w:sz w:val="21"/>
          <w:lang w:eastAsia="zh-CN"/>
        </w:rPr>
        <w:t>轴承侧</w:t>
      </w:r>
      <w:r>
        <w:rPr>
          <w:rFonts w:ascii="宋体" w:eastAsia="宋体" w:hAnsi="宋体" w:cs="宋体" w:hint="eastAsia"/>
          <w:sz w:val="21"/>
          <w:lang w:eastAsia="zh-CN"/>
        </w:rPr>
        <w:t>的抗噪优势（同</w:t>
      </w:r>
      <w:r>
        <w:rPr>
          <w:sz w:val="21"/>
        </w:rPr>
        <w:t xml:space="preserve"> SNR </w:t>
      </w:r>
      <w:r>
        <w:rPr>
          <w:rFonts w:ascii="宋体" w:eastAsia="宋体" w:hAnsi="宋体" w:cs="宋体" w:hint="eastAsia"/>
          <w:sz w:val="21"/>
          <w:lang w:eastAsia="zh-CN"/>
        </w:rPr>
        <w:t>下高出</w:t>
      </w:r>
      <w:r>
        <w:rPr>
          <w:sz w:val="21"/>
        </w:rPr>
        <w:t xml:space="preserve"> 15 ~ 27 </w:t>
      </w:r>
      <w:r>
        <w:rPr>
          <w:rFonts w:ascii="宋体" w:eastAsia="宋体" w:hAnsi="宋体" w:cs="宋体" w:hint="eastAsia"/>
          <w:sz w:val="21"/>
          <w:lang w:eastAsia="zh-CN"/>
        </w:rPr>
        <w:t>个百分点）。</w:t>
      </w:r>
      <w:r>
        <w:rPr>
          <w:rFonts w:ascii="宋体" w:eastAsia="宋体" w:hAnsi="宋体" w:cs="宋体" w:hint="eastAsia"/>
          <w:b/>
          <w:sz w:val="21"/>
          <w:lang w:eastAsia="zh-CN"/>
        </w:rPr>
        <w:t>齿轮侧本文弱于该文献基线，属本文短板，不得作为优势论据。</w:t>
      </w:r>
      <w:r>
        <w:rPr>
          <w:rFonts w:ascii="宋体" w:eastAsia="宋体" w:hAnsi="宋体" w:cs="宋体" w:hint="eastAsia"/>
          <w:sz w:val="21"/>
          <w:lang w:eastAsia="zh-CN"/>
        </w:rPr>
        <w:t>另须注明：本文为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固定</w:t>
      </w:r>
      <w:r>
        <w:rPr>
          <w:sz w:val="21"/>
        </w:rPr>
        <w:t xml:space="preserve"> SNR </w:t>
      </w:r>
      <w:r>
        <w:rPr>
          <w:rFonts w:ascii="宋体" w:eastAsia="宋体" w:hAnsi="宋体" w:cs="宋体" w:hint="eastAsia"/>
          <w:sz w:val="21"/>
          <w:lang w:eastAsia="zh-CN"/>
        </w:rPr>
        <w:t>加噪训练</w:t>
      </w:r>
      <w:r>
        <w:rPr>
          <w:sz w:val="21"/>
        </w:rPr>
        <w:t xml:space="preserve"> + </w:t>
      </w:r>
      <w:r>
        <w:rPr>
          <w:rFonts w:ascii="宋体" w:eastAsia="宋体" w:hAnsi="宋体" w:cs="宋体" w:hint="eastAsia"/>
          <w:sz w:val="21"/>
          <w:lang w:eastAsia="zh-CN"/>
        </w:rPr>
        <w:t>同</w:t>
      </w:r>
      <w:r>
        <w:rPr>
          <w:sz w:val="21"/>
        </w:rPr>
        <w:t xml:space="preserve"> SNR </w:t>
      </w:r>
      <w:r>
        <w:rPr>
          <w:rFonts w:ascii="宋体" w:eastAsia="宋体" w:hAnsi="宋体" w:cs="宋体" w:hint="eastAsia"/>
          <w:sz w:val="21"/>
          <w:lang w:eastAsia="zh-CN"/>
        </w:rPr>
        <w:t>测试</w:t>
      </w:r>
      <w:r>
        <w:rPr>
          <w:sz w:val="21"/>
        </w:rPr>
        <w:t>"</w:t>
      </w:r>
      <w:r>
        <w:rPr>
          <w:rFonts w:ascii="宋体" w:eastAsia="宋体" w:hAnsi="宋体" w:cs="宋体" w:hint="eastAsia"/>
          <w:sz w:val="21"/>
          <w:lang w:eastAsia="zh-CN"/>
        </w:rPr>
        <w:t>，该文献原文未明确其加噪阶段，协议不完全相同。</w:t>
      </w:r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五、表 4 · 其他设置下的方法参考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b/>
                <w:sz w:val="21"/>
              </w:rPr>
              <w:t>准确率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与本文的差异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文献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IBRB / BRF / BPNN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82.0 / 81.7 / 86.2%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跨工况（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20→30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+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类别不平衡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Sci. Rep. 2026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EBRB-EU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SVM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81.46 ± 4.28%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轴承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类（两工况合并）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Processes 2025, 13(4):1239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TICNN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88.50 ± 8.14%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SAGAN-IResNet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92.57% ~ 98.50%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少样本设置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Sci. Rep. 2025, 15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 / LSTM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94.12 / 94.90%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变工况、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10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类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J. Engineering 2025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Kibrete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ADAMFFN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94.54%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齿轮跨工况迁移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Machines 2025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SCBM-Net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98.33%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轴承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类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Sci. Rep. 2025, 15:37904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1D CNN-LSTM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99.15%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变工况、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10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类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J. Engineering 2025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CNN / Transformer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（齿轮）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Courier New" w:hAnsi="Courier New" w:eastAsia="Courier New"/>
                <w:sz w:val="21"/>
              </w:rPr>
              <w:t>97.27 / 71.08%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划分方式未交代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ACM CIISAI 2025</w:t>
            </w:r>
          </w:p>
        </w:tc>
      </w:tr>
    </w:tbl>
    <w:p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六、表 5 · 已排除，不得引用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条目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排除理由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FE-MCFormer / FEMSN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arXiv:2505.06285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版本敏感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：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v2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2025-12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）含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齿轮箱案例，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v3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2026-07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，当前版）已于作者处整段删除，改为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Paderborn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轴承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+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离心压缩机。其强噪声表（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MSCNN-LSTM 28.16% / WDCNN 66.16% / ResNet50 78.54%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）已被删除，引用必被查穿。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DDGF-Net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Machines 2026, 14(9):1013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其噪声实验覆盖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−10 / −8 / −6 dB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，与本文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−4 dB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下限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不重叠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；唯一重叠的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−4 dB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上其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DRSN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基线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92.5%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，本文齿轮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67.1% / 46.9%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，属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b/>
                <w:sz w:val="21"/>
              </w:rPr>
              <w:t>反向证据</w:t>
            </w:r>
            <w:r>
              <w:rPr>
                <w:rFonts w:ascii="宋体" w:hAnsi="宋体" w:eastAsia="宋体" w:hint="eastAsia"/>
                <w:sz w:val="21"/>
              </w:rPr>
              <w:t xml:space="preserve"> 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CWRU / Paderborn / HUST /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风电齿轮箱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/ XJTU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b/>
                <w:sz w:val="21"/>
              </w:rPr>
              <w:t>非 SEU 库</w:t>
            </w:r>
            <w:r>
              <w:rPr>
                <w:rFonts w:ascii="宋体" w:hAnsi="宋体" w:eastAsia="宋体" w:hint="eastAsia"/>
                <w:sz w:val="21"/>
              </w:rPr>
              <w:t xml:space="preserve"> ，按本文口径不进对比表，仅可作领域背景。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 xml:space="preserve">CSDN /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公众号博客中的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SEU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结果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宋体" w:hAnsi="宋体" w:eastAsia="宋体" w:hint="eastAsia"/>
                <w:sz w:val="21"/>
              </w:rPr>
              <w:t>非正式发表文献，不可引用。</w:t>
            </w:r>
          </w:p>
        </w:tc>
      </w:tr>
    </w:tbl>
    <w:p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七、可直接使用的正文措辞</w:t>
      </w:r>
      <w:r/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数据集的同工况五分类任务上，本文方法在齿轮箱与轴承两个子任务上分别达到</w:t>
      </w:r>
      <w:r>
        <w:t xml:space="preserve"> 97.69% ~ 99.85%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99.85% ~ 100%</w:t>
      </w:r>
      <w:r>
        <w:rPr>
          <w:rFonts w:ascii="宋体" w:eastAsia="宋体" w:hAnsi="宋体" w:cs="宋体" w:hint="eastAsia"/>
          <w:lang w:eastAsia="zh-CN"/>
        </w:rPr>
        <w:t>。与同源文献报告结果相比（表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、表</w:t>
      </w:r>
      <w:r>
        <w:t xml:space="preserve"> 2</w:t>
      </w:r>
      <w:r>
        <w:rPr>
          <w:rFonts w:ascii="宋体" w:eastAsia="宋体" w:hAnsi="宋体" w:cs="宋体" w:hint="eastAsia"/>
          <w:lang w:eastAsia="zh-CN"/>
        </w:rPr>
        <w:t>），本文准确率高于其中列出的传统机器学习方法（</w:t>
      </w:r>
      <w:r>
        <w:t>BP</w:t>
      </w:r>
      <w:r>
        <w:rPr>
          <w:rFonts w:ascii="宋体" w:eastAsia="宋体" w:hAnsi="宋体" w:cs="宋体" w:hint="eastAsia"/>
          <w:lang w:eastAsia="zh-CN"/>
        </w:rPr>
        <w:t>、</w:t>
      </w:r>
      <w:r>
        <w:t>SVM</w:t>
      </w:r>
      <w:r>
        <w:rPr>
          <w:rFonts w:ascii="宋体" w:eastAsia="宋体" w:hAnsi="宋体" w:cs="宋体" w:hint="eastAsia"/>
          <w:lang w:eastAsia="zh-CN"/>
        </w:rPr>
        <w:t>、</w:t>
      </w:r>
      <w:r>
        <w:t>KNN</w:t>
      </w:r>
      <w:r>
        <w:rPr>
          <w:rFonts w:ascii="宋体" w:eastAsia="宋体" w:hAnsi="宋体" w:cs="宋体" w:hint="eastAsia"/>
          <w:lang w:eastAsia="zh-CN"/>
        </w:rPr>
        <w:t>、</w:t>
      </w:r>
      <w:r>
        <w:t>GBDT</w:t>
      </w:r>
      <w:r>
        <w:rPr>
          <w:rFonts w:ascii="宋体" w:eastAsia="宋体" w:hAnsi="宋体" w:cs="宋体" w:hint="eastAsia"/>
          <w:lang w:eastAsia="zh-CN"/>
        </w:rPr>
        <w:t>、</w:t>
      </w:r>
      <w:r>
        <w:t>ELM</w:t>
      </w:r>
      <w:r>
        <w:rPr>
          <w:rFonts w:ascii="宋体" w:eastAsia="宋体" w:hAnsi="宋体" w:cs="宋体" w:hint="eastAsia"/>
          <w:lang w:eastAsia="zh-CN"/>
        </w:rPr>
        <w:t>，</w:t>
      </w:r>
      <w:r>
        <w:t>82.03% ~ 89.70%</w:t>
      </w:r>
      <w:r>
        <w:rPr>
          <w:rFonts w:ascii="宋体" w:eastAsia="宋体" w:hAnsi="宋体" w:cs="宋体" w:hint="eastAsia"/>
          <w:lang w:eastAsia="zh-CN"/>
        </w:rPr>
        <w:t>）与常见深度基线（</w:t>
      </w:r>
      <w:r>
        <w:t>CNN</w:t>
      </w:r>
      <w:r>
        <w:rPr>
          <w:rFonts w:ascii="宋体" w:eastAsia="宋体" w:hAnsi="宋体" w:cs="宋体" w:hint="eastAsia"/>
          <w:lang w:eastAsia="zh-CN"/>
        </w:rPr>
        <w:t>、</w:t>
      </w:r>
      <w:r>
        <w:t>LSTM</w:t>
      </w:r>
      <w:r>
        <w:rPr>
          <w:rFonts w:ascii="宋体" w:eastAsia="宋体" w:hAnsi="宋体" w:cs="宋体" w:hint="eastAsia"/>
          <w:lang w:eastAsia="zh-CN"/>
        </w:rPr>
        <w:t>、</w:t>
      </w:r>
      <w:r>
        <w:t>CNN-LSTM</w:t>
      </w:r>
      <w:r>
        <w:rPr>
          <w:rFonts w:ascii="宋体" w:eastAsia="宋体" w:hAnsi="宋体" w:cs="宋体" w:hint="eastAsia"/>
          <w:lang w:eastAsia="zh-CN"/>
        </w:rPr>
        <w:t>、</w:t>
      </w:r>
      <w:r>
        <w:t>ResNet</w:t>
      </w:r>
      <w:r>
        <w:rPr>
          <w:rFonts w:ascii="宋体" w:eastAsia="宋体" w:hAnsi="宋体" w:cs="宋体" w:hint="eastAsia"/>
          <w:lang w:eastAsia="zh-CN"/>
        </w:rPr>
        <w:t>、</w:t>
      </w:r>
      <w:r>
        <w:t>AlexNet</w:t>
      </w:r>
      <w:r>
        <w:rPr>
          <w:rFonts w:ascii="宋体" w:eastAsia="宋体" w:hAnsi="宋体" w:cs="宋体" w:hint="eastAsia"/>
          <w:lang w:eastAsia="zh-CN"/>
        </w:rPr>
        <w:t>，</w:t>
      </w:r>
      <w:r>
        <w:t>83.60% ~ 97.27%</w:t>
      </w:r>
      <w:r>
        <w:rPr>
          <w:rFonts w:ascii="宋体" w:eastAsia="宋体" w:hAnsi="宋体" w:cs="宋体" w:hint="eastAsia"/>
          <w:lang w:eastAsia="zh-CN"/>
        </w:rPr>
        <w:t>）。需要说明的是，上述文献在数据划分比例、样本量与验证方式上与本文存在差异（详见表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、表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对应列），故该对照为同库、同任务条件下的参考，并非严格同协议比较。在强噪声条件下（表</w:t>
      </w:r>
      <w:r>
        <w:t xml:space="preserve"> 3</w:t>
      </w:r>
      <w:r>
        <w:rPr>
          <w:rFonts w:ascii="宋体" w:eastAsia="宋体" w:hAnsi="宋体" w:cs="宋体" w:hint="eastAsia"/>
          <w:lang w:eastAsia="zh-CN"/>
        </w:rPr>
        <w:t>，加性高斯白噪声），本文轴承任务的抗噪表现优于所列基线；齿轮任务在强噪声下的表现弱于对比方法，为本文的局限。</w:t>
      </w:r>
      <w:r/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30"/>
          <w:lang w:eastAsia="zh-CN"/>
        </w:rPr>
        <w:t>八、出处登记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本表所引文献的完整出处如下，按齿轮箱与轴承两个任务分组排列；表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至表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中每一行的</w:t>
      </w:r>
      <w:r>
        <w:t>"</w:t>
      </w:r>
      <w:r>
        <w:rPr>
          <w:rFonts w:ascii="宋体" w:eastAsia="宋体" w:hAnsi="宋体" w:cs="宋体" w:hint="eastAsia"/>
          <w:lang w:eastAsia="zh-CN"/>
        </w:rPr>
        <w:t>文献</w:t>
      </w:r>
      <w:r>
        <w:t>"</w:t>
      </w:r>
      <w:r>
        <w:rPr>
          <w:rFonts w:ascii="宋体" w:eastAsia="宋体" w:hAnsi="宋体" w:cs="宋体" w:hint="eastAsia"/>
          <w:lang w:eastAsia="zh-CN"/>
        </w:rPr>
        <w:t>栏均可在此对应查到期刊、卷期、页码与</w:t>
      </w:r>
      <w:r>
        <w:t xml:space="preserve"> DOI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齿轮箱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Zhu C., Chen Z., Zhao R., Wang J., Yan R. Decoupled Feature-Temporal CNN: Explaining Deep Learning-Based Machine Health Monitoring. </w:t>
      </w:r>
      <w:r>
        <w:rPr>
          <w:i/>
          <w:sz w:val="21"/>
        </w:rPr>
        <w:t>IEEE Transactions on Instrumentation and Measurement</w:t>
      </w:r>
      <w:r>
        <w:rPr>
          <w:sz w:val="21"/>
        </w:rPr>
        <w:t>, 2021, 70: 1–13. DOI: 10.1109/TIM.2021.3084310</w:t>
      </w:r>
      <w:r>
        <w:rPr>
          <w:rFonts w:ascii="宋体" w:eastAsia="宋体" w:hAnsi="宋体" w:cs="宋体" w:hint="eastAsia"/>
          <w:sz w:val="21"/>
          <w:lang w:eastAsia="zh-CN"/>
        </w:rPr>
        <w:t>（表</w:t>
      </w:r>
      <w:r>
        <w:rPr>
          <w:sz w:val="21"/>
        </w:rPr>
        <w:t xml:space="preserve"> V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Fault Diagnosis of Gearbox Based on CNN and LSTM with Attention Mechanism. </w:t>
      </w:r>
      <w:r>
        <w:rPr>
          <w:i/>
          <w:sz w:val="21"/>
        </w:rPr>
        <w:t>Highlights in Science, Engineering and Technology</w:t>
      </w:r>
      <w:r>
        <w:rPr>
          <w:sz w:val="21"/>
        </w:rPr>
        <w:t>, 2024, 93: 291–292</w:t>
      </w:r>
      <w:r>
        <w:rPr>
          <w:rFonts w:ascii="宋体" w:eastAsia="宋体" w:hAnsi="宋体" w:cs="宋体" w:hint="eastAsia"/>
          <w:sz w:val="21"/>
          <w:lang w:eastAsia="zh-CN"/>
        </w:rPr>
        <w:t>（</w:t>
      </w:r>
      <w:r>
        <w:rPr>
          <w:sz w:val="21"/>
        </w:rPr>
        <w:t>AMMMP 2024</w:t>
      </w:r>
      <w:r>
        <w:rPr>
          <w:rFonts w:ascii="宋体" w:eastAsia="宋体" w:hAnsi="宋体" w:cs="宋体" w:hint="eastAsia"/>
          <w:sz w:val="21"/>
          <w:lang w:eastAsia="zh-CN"/>
        </w:rPr>
        <w:t>，表</w:t>
      </w:r>
      <w:r>
        <w:rPr>
          <w:sz w:val="21"/>
        </w:rPr>
        <w:t xml:space="preserve"> 3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rFonts w:ascii="宋体" w:eastAsia="宋体" w:hAnsi="宋体" w:cs="宋体" w:hint="eastAsia"/>
          <w:sz w:val="21"/>
          <w:lang w:eastAsia="zh-CN"/>
        </w:rPr>
        <w:t>邵浙梁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戚知宽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周邵萍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基于改进注意力机制的</w:t>
      </w:r>
      <w:r>
        <w:rPr>
          <w:sz w:val="21"/>
        </w:rPr>
        <w:t xml:space="preserve"> CNN </w:t>
      </w:r>
      <w:r>
        <w:rPr>
          <w:rFonts w:ascii="宋体" w:eastAsia="宋体" w:hAnsi="宋体" w:cs="宋体" w:hint="eastAsia"/>
          <w:sz w:val="21"/>
          <w:lang w:eastAsia="zh-CN"/>
        </w:rPr>
        <w:t>的齿轮箱故障诊断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i/>
          <w:sz w:val="21"/>
          <w:lang w:eastAsia="zh-CN"/>
        </w:rPr>
        <w:t>华东理工大学学报（自然科学版）</w:t>
      </w:r>
      <w:r>
        <w:rPr>
          <w:sz w:val="21"/>
        </w:rPr>
        <w:t>, 2024, 50(6): 920–928. DOI: 10.14135/j.cnki.1006-3080.20231207002</w:t>
      </w:r>
      <w:r>
        <w:rPr>
          <w:rFonts w:ascii="宋体" w:eastAsia="宋体" w:hAnsi="宋体" w:cs="宋体" w:hint="eastAsia"/>
          <w:sz w:val="21"/>
          <w:lang w:eastAsia="zh-CN"/>
        </w:rPr>
        <w:t>（表</w:t>
      </w:r>
      <w:r>
        <w:rPr>
          <w:sz w:val="21"/>
        </w:rPr>
        <w:t xml:space="preserve"> 1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Wu N., Li Y., Li X., Yuan K., Jiang W., Li K. An Investigation on Attention Mechanism–Based Long Short-Term Memory for Gearbox Fault Diagnosis. </w:t>
      </w:r>
      <w:r>
        <w:rPr>
          <w:i/>
          <w:sz w:val="21"/>
        </w:rPr>
        <w:t>Shock and Vibration</w:t>
      </w:r>
      <w:r>
        <w:rPr>
          <w:sz w:val="21"/>
        </w:rPr>
        <w:t>, 2025. DOI: 10.1155/vib/8680245</w:t>
      </w:r>
      <w:r>
        <w:rPr>
          <w:rFonts w:ascii="宋体" w:eastAsia="宋体" w:hAnsi="宋体" w:cs="宋体" w:hint="eastAsia"/>
          <w:sz w:val="21"/>
          <w:lang w:eastAsia="zh-CN"/>
        </w:rPr>
        <w:t>（表</w:t>
      </w:r>
      <w:r>
        <w:rPr>
          <w:sz w:val="21"/>
        </w:rPr>
        <w:t xml:space="preserve"> 5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Zhang L., Zhang Y., Li G. Fault-Diagnosis Method for Rotating Machinery Based on SVMD Entropy and Machine Learning. </w:t>
      </w:r>
      <w:r>
        <w:rPr>
          <w:i/>
          <w:sz w:val="21"/>
        </w:rPr>
        <w:t>Algorithms</w:t>
      </w:r>
      <w:r>
        <w:rPr>
          <w:sz w:val="21"/>
        </w:rPr>
        <w:t>, 2023, 16(6): 304. DOI: 10.3390/a16060304</w:t>
      </w:r>
      <w:r>
        <w:rPr>
          <w:rFonts w:ascii="宋体" w:eastAsia="宋体" w:hAnsi="宋体" w:cs="宋体" w:hint="eastAsia"/>
          <w:sz w:val="21"/>
          <w:lang w:eastAsia="zh-CN"/>
        </w:rPr>
        <w:t>（表</w:t>
      </w:r>
      <w:r>
        <w:rPr>
          <w:sz w:val="21"/>
        </w:rPr>
        <w:t xml:space="preserve"> 5</w:t>
      </w:r>
      <w:r>
        <w:rPr>
          <w:rFonts w:ascii="宋体" w:eastAsia="宋体" w:hAnsi="宋体" w:cs="宋体" w:hint="eastAsia"/>
          <w:sz w:val="21"/>
          <w:lang w:eastAsia="zh-CN"/>
        </w:rPr>
        <w:t>、表</w:t>
      </w:r>
      <w:r>
        <w:rPr>
          <w:sz w:val="21"/>
        </w:rPr>
        <w:t xml:space="preserve"> 6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Wang Z., Tang Y., Dong Y., et al. Optimization of Gearbox Fault Detection Method Based on Deep Residual Neural Network Algorithm. </w:t>
      </w:r>
      <w:r>
        <w:rPr>
          <w:i/>
          <w:sz w:val="21"/>
        </w:rPr>
        <w:t>Sensors</w:t>
      </w:r>
      <w:r>
        <w:rPr>
          <w:sz w:val="21"/>
        </w:rPr>
        <w:t>, 2023, 23(17): 7573. DOI: 10.3390/s23177573</w:t>
      </w:r>
      <w:r>
        <w:rPr>
          <w:rFonts w:ascii="宋体" w:eastAsia="宋体" w:hAnsi="宋体" w:cs="宋体" w:hint="eastAsia"/>
          <w:sz w:val="21"/>
          <w:lang w:eastAsia="zh-CN"/>
        </w:rPr>
        <w:t>（表</w:t>
      </w:r>
      <w:r>
        <w:rPr>
          <w:sz w:val="21"/>
        </w:rPr>
        <w:t xml:space="preserve"> 4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Gearbox Fault Diagnosis Based on Compressed Sensing and Multi-Scale Residual Network with Lightweight Attention Mechanism. </w:t>
      </w:r>
      <w:r>
        <w:rPr>
          <w:i/>
          <w:sz w:val="21"/>
        </w:rPr>
        <w:t>Mathematics</w:t>
      </w:r>
      <w:r>
        <w:rPr>
          <w:sz w:val="21"/>
        </w:rPr>
        <w:t>, 2025, 13(9): 1393. DOI: 10.3390/math13091393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Hierarchical Convolution-Transformer Framework for Gear Fault Diagnosis Under Severe Noise. </w:t>
      </w:r>
      <w:r>
        <w:rPr>
          <w:i/>
          <w:sz w:val="21"/>
        </w:rPr>
        <w:t>IEEE Xplore</w:t>
      </w:r>
      <w:r>
        <w:rPr>
          <w:sz w:val="21"/>
        </w:rPr>
        <w:t xml:space="preserve">, 2025, </w:t>
      </w:r>
      <w:r>
        <w:rPr>
          <w:rFonts w:ascii="宋体" w:eastAsia="宋体" w:hAnsi="宋体" w:cs="宋体" w:hint="eastAsia"/>
          <w:sz w:val="21"/>
          <w:lang w:eastAsia="zh-CN"/>
        </w:rPr>
        <w:t>文献号</w:t>
      </w:r>
      <w:r>
        <w:rPr>
          <w:sz w:val="21"/>
        </w:rPr>
        <w:t xml:space="preserve"> 11037744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Research on Equipment Fault Diagnosis Method Based on Multimodal Deep Fusion. </w:t>
      </w:r>
      <w:r>
        <w:rPr>
          <w:i/>
          <w:sz w:val="21"/>
        </w:rPr>
        <w:t>ACM CIISAI 2025</w:t>
      </w:r>
      <w:r>
        <w:rPr>
          <w:sz w:val="21"/>
        </w:rPr>
        <w:t>. DOI: 10.1145/3773365.3773555</w:t>
      </w:r>
    </w:p>
    <w:p>
      <w:pPr>
        <w:pStyle w:val="ListNumber"/>
        <w:numPr>
          <w:ilvl w:val="0"/>
          <w:numId w:val="11"/>
        </w:numPr>
        <w:spacing w:after="84"/>
        <w:ind w:firstLine="0"/>
      </w:pPr>
      <w:r>
        <w:rPr>
          <w:sz w:val="21"/>
        </w:rPr>
        <w:t xml:space="preserve">Deep Ensemble Learning Based on Multi-Form Fusion in Gearbox Fault Recognition. </w:t>
      </w:r>
      <w:r>
        <w:rPr>
          <w:i/>
          <w:sz w:val="21"/>
        </w:rPr>
        <w:t>Sensors</w:t>
      </w:r>
      <w:r>
        <w:rPr>
          <w:sz w:val="21"/>
        </w:rPr>
        <w:t>, 2025, 25(16): 4993. DOI: 10.3390/s25164993</w:t>
      </w:r>
      <w:r>
        <w:rPr>
          <w:rFonts w:ascii="宋体" w:eastAsia="宋体" w:hAnsi="宋体" w:cs="宋体" w:hint="eastAsia"/>
          <w:sz w:val="21"/>
          <w:lang w:eastAsia="zh-CN"/>
        </w:rPr>
        <w:t>（表</w:t>
      </w:r>
      <w:r>
        <w:rPr>
          <w:sz w:val="21"/>
        </w:rPr>
        <w:t xml:space="preserve"> 4</w:t>
      </w:r>
      <w:r>
        <w:rPr>
          <w:rFonts w:ascii="宋体" w:eastAsia="宋体" w:hAnsi="宋体" w:cs="宋体" w:hint="eastAsia"/>
          <w:sz w:val="21"/>
          <w:lang w:eastAsia="zh-CN"/>
        </w:rPr>
        <w:t>，单测点</w:t>
      </w:r>
      <w:r>
        <w:rPr>
          <w:sz w:val="21"/>
        </w:rPr>
        <w:t xml:space="preserve"> WDCNN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轴承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 xml:space="preserve">Li W., Cai H., Yang X., Xue Y., Ye J., Hu X. Dual-Channel Parallel Multimodal Feature Fusion for Bearing Fault Diagnosis. </w:t>
      </w:r>
      <w:r>
        <w:rPr>
          <w:i/>
          <w:sz w:val="21"/>
        </w:rPr>
        <w:t>Machines</w:t>
      </w:r>
      <w:r>
        <w:rPr>
          <w:sz w:val="21"/>
        </w:rPr>
        <w:t>, 2025, 13(10): 950. DOI: 10.3390/machines13100950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 xml:space="preserve">Jiang Y., Lu M., Dong Z., et al. Adaptive Deeping Siamese Residual Network: A Novel Model for Few-Shot Bearing Fault Diagnosis. </w:t>
      </w:r>
      <w:r>
        <w:rPr>
          <w:i/>
          <w:sz w:val="21"/>
        </w:rPr>
        <w:t>Machines</w:t>
      </w:r>
      <w:r>
        <w:rPr>
          <w:sz w:val="21"/>
        </w:rPr>
        <w:t>, 2025, 13(3): 193. DOI: 10.3390/machines13030193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 xml:space="preserve">Bearing Fault Diagnosis Based on Multiscale Lightweight Convolutional Neural Network. </w:t>
      </w:r>
      <w:r>
        <w:rPr>
          <w:i/>
          <w:sz w:val="21"/>
        </w:rPr>
        <w:t>Processes</w:t>
      </w:r>
      <w:r>
        <w:rPr>
          <w:sz w:val="21"/>
        </w:rPr>
        <w:t>, 2025, 13(4): 1239. DOI: 10.3390/pr13041239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 xml:space="preserve">SCBM-Net: a multimodal feature fusion-based dual-channel method for bearing fault diagnosis. </w:t>
      </w:r>
      <w:r>
        <w:rPr>
          <w:i/>
          <w:sz w:val="21"/>
        </w:rPr>
        <w:t>Scientific Reports</w:t>
      </w:r>
      <w:r>
        <w:rPr>
          <w:sz w:val="21"/>
        </w:rPr>
        <w:t>, 2025, 15: 37904. DOI: 10.1038/s41598-025-21665-4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 xml:space="preserve">Wang G., et al. Bearing fault diagnosis method based on SAGAN and improved ResNet. </w:t>
      </w:r>
      <w:r>
        <w:rPr>
          <w:i/>
          <w:sz w:val="21"/>
        </w:rPr>
        <w:t>Scientific Reports</w:t>
      </w:r>
      <w:r>
        <w:rPr>
          <w:sz w:val="21"/>
        </w:rPr>
        <w:t>, 2025, 15. DOI: 10.1038/s41598-025-16771-2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 xml:space="preserve">Kibrete F., et al. Fault Diagnosis of Rotating Machines Based on Combination of 1D CNN and LSTM in Variable Working Conditions. </w:t>
      </w:r>
      <w:r>
        <w:rPr>
          <w:i/>
          <w:sz w:val="21"/>
        </w:rPr>
        <w:t>Journal of Engineering</w:t>
      </w:r>
      <w:r>
        <w:rPr>
          <w:sz w:val="21"/>
        </w:rPr>
        <w:t xml:space="preserve"> (Wiley), 2025. DOI: 10.1155/je/1670810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>A bearing fault diagnosis method for complex system based on improved extended belief rule base</w:t>
      </w:r>
      <w:r>
        <w:rPr>
          <w:rFonts w:ascii="宋体" w:eastAsia="宋体" w:hAnsi="宋体" w:cs="宋体" w:hint="eastAsia"/>
          <w:sz w:val="21"/>
          <w:lang w:eastAsia="zh-CN"/>
        </w:rPr>
        <w:t>（</w:t>
      </w:r>
      <w:r>
        <w:rPr>
          <w:sz w:val="21"/>
        </w:rPr>
        <w:t>EBRB-EU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  <w:r>
        <w:rPr>
          <w:sz w:val="21"/>
        </w:rPr>
        <w:t xml:space="preserve">. </w:t>
      </w:r>
      <w:r>
        <w:rPr>
          <w:i/>
          <w:sz w:val="21"/>
        </w:rPr>
        <w:t>Scientific Reports</w:t>
      </w:r>
      <w:r>
        <w:rPr>
          <w:sz w:val="21"/>
        </w:rPr>
        <w:t>, 2026. DOI: 10.1038/s41598-026-44629-8</w:t>
      </w:r>
    </w:p>
    <w:p>
      <w:pPr>
        <w:pStyle w:val="ListNumber"/>
        <w:numPr>
          <w:ilvl w:val="0"/>
          <w:numId w:val="12"/>
        </w:numPr>
        <w:spacing w:after="84"/>
        <w:ind w:firstLine="0"/>
      </w:pPr>
      <w:r>
        <w:rPr>
          <w:sz w:val="21"/>
        </w:rPr>
        <w:t xml:space="preserve">ADAMFFN: Adaptive Domain-Aligned Multi-Modal Feature Fusion Network. </w:t>
      </w:r>
      <w:r>
        <w:rPr>
          <w:i/>
          <w:sz w:val="21"/>
        </w:rPr>
        <w:t>Machines</w:t>
      </w:r>
      <w:r>
        <w:rPr>
          <w:sz w:val="21"/>
        </w:rPr>
        <w:t>, 2025</w:t>
      </w:r>
      <w:r>
        <w:rPr>
          <w:rFonts w:ascii="宋体" w:eastAsia="宋体" w:hAnsi="宋体" w:cs="宋体" w:hint="eastAsia"/>
          <w:sz w:val="21"/>
          <w:lang w:eastAsia="zh-CN"/>
        </w:rPr>
        <w:t>（跨工况）</w:t>
      </w:r>
      <w:r/>
    </w:p>
    <w:p>
      <w:pPr>
        <w:ind w:firstLine="0"/>
        <w:jc w:val="both"/>
      </w:pPr>
      <w:r>
        <w:rPr>
          <w:rFonts w:ascii="宋体" w:eastAsia="宋体" w:hAnsi="宋体" w:cs="宋体" w:hint="eastAsia"/>
          <w:sz w:val="18"/>
          <w:lang w:eastAsia="zh-CN"/>
        </w:rPr>
        <w:t>本文数据来源：</w:t>
      </w:r>
      <w:r>
        <w:rPr>
          <w:i/>
          <w:sz w:val="18"/>
        </w:rPr>
        <w:t>datas/experiments_seu/</w:t>
      </w:r>
      <w:r>
        <w:rPr>
          <w:rFonts w:ascii="宋体" w:eastAsia="宋体" w:hAnsi="宋体" w:cs="宋体" w:hint="eastAsia"/>
          <w:sz w:val="18"/>
          <w:lang w:eastAsia="zh-CN"/>
        </w:rPr>
        <w:t>（密封测试集</w:t>
      </w:r>
      <w:r>
        <w:rPr>
          <w:sz w:val="18"/>
        </w:rPr>
        <w:t xml:space="preserve"> metrics.json</w:t>
      </w:r>
      <w:r>
        <w:rPr>
          <w:rFonts w:ascii="宋体" w:eastAsia="宋体" w:hAnsi="宋体" w:cs="宋体" w:hint="eastAsia"/>
          <w:sz w:val="18"/>
          <w:lang w:eastAsia="zh-CN"/>
        </w:rPr>
        <w:t>，</w:t>
      </w:r>
      <w:r>
        <w:rPr>
          <w:sz w:val="18"/>
        </w:rPr>
        <w:t>resplit</w:t>
      </w:r>
      <w:r>
        <w:rPr>
          <w:rFonts w:ascii="宋体" w:eastAsia="宋体" w:hAnsi="宋体" w:cs="宋体" w:hint="eastAsia"/>
          <w:sz w:val="18"/>
          <w:lang w:eastAsia="zh-CN"/>
        </w:rPr>
        <w:t>，</w:t>
      </w:r>
      <w:r>
        <w:rPr>
          <w:sz w:val="18"/>
        </w:rPr>
        <w:t>seed 42</w:t>
      </w:r>
      <w:r>
        <w:rPr>
          <w:rFonts w:ascii="宋体" w:eastAsia="宋体" w:hAnsi="宋体" w:cs="宋体" w:hint="eastAsia"/>
          <w:sz w:val="18"/>
          <w:lang w:eastAsia="zh-CN"/>
        </w:rPr>
        <w:t>）与</w:t>
      </w:r>
      <w:r>
        <w:rPr>
          <w:sz w:val="18"/>
        </w:rPr>
        <w:t xml:space="preserve"> </w:t>
      </w:r>
      <w:r>
        <w:rPr>
          <w:i/>
          <w:sz w:val="18"/>
        </w:rPr>
        <w:t>datas/experiments_seu/teacher_extra/noise_robustness.json</w:t>
      </w:r>
      <w:r>
        <w:rPr>
          <w:rFonts w:ascii="宋体" w:eastAsia="宋体" w:hAnsi="宋体" w:cs="宋体" w:hint="eastAsia"/>
          <w:sz w:val="18"/>
          <w:lang w:eastAsia="zh-CN"/>
        </w:rPr>
        <w:t>。</w:t>
      </w:r>
      <w:r/>
      <w:r/>
      <w:r/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0" w:after="120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92" w:line="306" w:lineRule="auto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06" w:lineRule="auto"/>
      <w:ind w:firstLine="0"/>
      <w:outlineLvl w:val="1"/>
    </w:pPr>
    <w:rPr>
      <w:rFonts w:ascii="黑体" w:hAnsi="黑体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120" w:line="306" w:lineRule="auto"/>
      <w:ind w:firstLine="0"/>
      <w:outlineLvl w:val="2"/>
    </w:pPr>
    <w:rPr>
      <w:rFonts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92" w:after="120" w:line="306" w:lineRule="auto"/>
      <w:ind w:firstLine="0"/>
      <w:outlineLvl w:val="3"/>
    </w:pPr>
    <w:rPr>
      <w:rFonts w:ascii="黑体" w:hAnsi="黑体" w:eastAsia="黑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