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1080" w:after="540"/>
        <w:ind w:firstLine="0"/>
        <w:jc w:val="center"/>
      </w:pPr>
      <w:r>
        <w:rPr>
          <w:rFonts w:ascii="宋体" w:hAnsi="宋体" w:eastAsia="宋体" w:cs="宋体" w:hint="eastAsia"/>
          <w:b/>
          <w:sz w:val="36"/>
          <w:lang w:eastAsia="zh-CN"/>
        </w:rPr>
        <w:t>本文与同源文献对比分析</w:t>
      </w:r>
    </w:p>
    <w:p>
      <w:pPr>
        <w:spacing w:after="720"/>
        <w:ind w:firstLine="0"/>
        <w:jc w:val="center"/>
      </w:pPr>
      <w:r>
        <w:rPr>
          <w:rFonts w:ascii="宋体" w:hAnsi="宋体"/>
          <w:sz w:val="24"/>
        </w:rPr>
        <w:t xml:space="preserve">SEU </w:t>
      </w:r>
      <w:r>
        <w:rPr>
          <w:rFonts w:ascii="宋体" w:hAnsi="宋体" w:eastAsia="宋体" w:cs="宋体" w:hint="eastAsia"/>
          <w:sz w:val="24"/>
          <w:lang w:eastAsia="zh-CN"/>
        </w:rPr>
        <w:t>旋转机械故障诊断</w:t>
      </w:r>
      <w:r>
        <w:rPr>
          <w:rFonts w:ascii="宋体" w:hAnsi="宋体"/>
          <w:sz w:val="24"/>
        </w:rPr>
        <w:t xml:space="preserve"> · </w:t>
      </w:r>
      <w:r>
        <w:rPr>
          <w:rFonts w:ascii="宋体" w:hAnsi="宋体" w:eastAsia="宋体" w:cs="宋体" w:hint="eastAsia"/>
          <w:sz w:val="24"/>
          <w:lang w:eastAsia="zh-CN"/>
        </w:rPr>
        <w:t>主流写法对照表</w:t>
      </w:r>
    </w:p>
    <w:p>
      <w:pPr>
        <w:spacing w:after="120"/>
        <w:ind w:firstLine="0"/>
        <w:jc w:val="center"/>
      </w:pPr>
      <w:r>
        <w:rPr>
          <w:rFonts w:ascii="宋体" w:hAnsi="宋体" w:eastAsia="宋体" w:cs="宋体" w:hint="eastAsia"/>
          <w:sz w:val="24"/>
          <w:lang w:eastAsia="zh-CN"/>
        </w:rPr>
        <w:t>文档类型：技术对比分析</w:t>
      </w:r>
    </w:p>
    <w:p>
      <w:pPr>
        <w:spacing w:after="120"/>
        <w:ind w:firstLine="0"/>
        <w:jc w:val="center"/>
      </w:pPr>
      <w:r>
        <w:rPr>
          <w:rFonts w:ascii="宋体" w:hAnsi="宋体" w:eastAsia="宋体" w:cs="宋体" w:hint="eastAsia"/>
          <w:sz w:val="24"/>
          <w:lang w:eastAsia="zh-CN"/>
        </w:rPr>
        <w:t>数据来源：</w:t>
      </w:r>
      <w:r>
        <w:rPr>
          <w:rFonts w:ascii="宋体" w:hAnsi="宋体"/>
          <w:sz w:val="24"/>
        </w:rPr>
        <w:t xml:space="preserve">SEU DDS </w:t>
      </w:r>
      <w:r>
        <w:rPr>
          <w:rFonts w:ascii="宋体" w:hAnsi="宋体" w:eastAsia="宋体" w:cs="宋体" w:hint="eastAsia"/>
          <w:sz w:val="24"/>
          <w:lang w:eastAsia="zh-CN"/>
        </w:rPr>
        <w:t>密封测试集（</w:t>
      </w:r>
      <w:r>
        <w:rPr>
          <w:rFonts w:ascii="宋体" w:hAnsi="宋体"/>
          <w:sz w:val="24"/>
        </w:rPr>
        <w:t>resplit</w:t>
      </w:r>
      <w:r>
        <w:rPr>
          <w:rFonts w:ascii="宋体" w:hAnsi="宋体" w:eastAsia="宋体" w:cs="宋体" w:hint="eastAsia"/>
          <w:sz w:val="24"/>
          <w:lang w:eastAsia="zh-CN"/>
        </w:rPr>
        <w:t>，</w:t>
      </w:r>
      <w:r>
        <w:rPr>
          <w:rFonts w:ascii="宋体" w:hAnsi="宋体"/>
          <w:sz w:val="24"/>
        </w:rPr>
        <w:t>seed 42</w:t>
      </w:r>
      <w:r>
        <w:rPr>
          <w:rFonts w:ascii="宋体" w:hAnsi="宋体" w:eastAsia="宋体" w:cs="宋体" w:hint="eastAsia"/>
          <w:sz w:val="24"/>
          <w:lang w:eastAsia="zh-CN"/>
        </w:rPr>
        <w:t>）</w:t>
      </w:r>
    </w:p>
    <w:p>
      <w:pPr>
        <w:spacing w:after="120"/>
        <w:ind w:firstLine="0"/>
        <w:jc w:val="center"/>
      </w:pPr>
      <w:r>
        <w:rPr>
          <w:rFonts w:ascii="宋体" w:hAnsi="宋体" w:eastAsia="宋体" w:cs="宋体" w:hint="eastAsia"/>
          <w:sz w:val="24"/>
          <w:lang w:eastAsia="zh-CN"/>
        </w:rPr>
        <w:t>文献数值：各文献原文报告值，非本文复现</w:t>
      </w:r>
    </w:p>
    <w:p>
      <w:pPr>
        <w:spacing w:after="120"/>
        <w:ind w:firstLine="0"/>
        <w:jc w:val="center"/>
      </w:pPr>
      <w:r>
        <w:rPr>
          <w:rFonts w:ascii="宋体" w:hAnsi="宋体" w:eastAsia="宋体" w:cs="宋体" w:hint="eastAsia"/>
          <w:sz w:val="24"/>
          <w:lang w:eastAsia="zh-CN"/>
        </w:rPr>
        <w:t>整理日期：</w:t>
      </w:r>
      <w:r>
        <w:rPr>
          <w:rFonts w:ascii="宋体" w:hAnsi="宋体"/>
          <w:sz w:val="24"/>
        </w:rPr>
        <w:t xml:space="preserve">2026 </w:t>
      </w:r>
      <w:r>
        <w:rPr>
          <w:rFonts w:ascii="宋体" w:hAnsi="宋体" w:eastAsia="宋体" w:cs="宋体" w:hint="eastAsia"/>
          <w:sz w:val="24"/>
          <w:lang w:eastAsia="zh-CN"/>
        </w:rPr>
        <w:t>年</w:t>
      </w:r>
      <w:r>
        <w:rPr>
          <w:rFonts w:ascii="宋体" w:hAnsi="宋体"/>
          <w:sz w:val="24"/>
        </w:rPr>
        <w:t xml:space="preserve"> 10 </w:t>
      </w:r>
      <w:r>
        <w:rPr>
          <w:rFonts w:ascii="宋体" w:hAnsi="宋体" w:eastAsia="宋体" w:cs="宋体" w:hint="eastAsia"/>
          <w:sz w:val="24"/>
          <w:lang w:eastAsia="zh-CN"/>
        </w:rPr>
        <w:t>月</w:t>
      </w:r>
      <w:r>
        <w:rPr>
          <w:rFonts w:ascii="宋体" w:hAnsi="宋体"/>
          <w:sz w:val="24"/>
        </w:rPr>
        <w:t xml:space="preserve"> 1 </w:t>
      </w:r>
      <w:r>
        <w:rPr>
          <w:rFonts w:ascii="宋体" w:hAnsi="宋体" w:eastAsia="宋体" w:cs="宋体" w:hint="eastAsia"/>
          <w:sz w:val="24"/>
          <w:lang w:eastAsia="zh-CN"/>
        </w:rPr>
        <w:t>日</w:t>
      </w:r>
      <w:r/>
    </w:p>
    <w:p>
      <w:pPr>
        <w:sectPr>
          <w:type w:val="nextPage"/>
          <w:pgSz w:w="11906" w:h="16838"/>
          <w:pgMar w:top="1417" w:bottom="1417" w:left="1417" w:right="1417"/>
        </w:sectPr>
      </w:pPr>
    </w:p>
    <w:p>
      <w:pPr>
        <w:ind w:firstLine="0"/>
        <w:jc w:val="center"/>
      </w:pPr>
      <w:r/>
      <w:r>
        <w:rPr>
          <w:rFonts w:ascii="黑体" w:hAnsi="黑体" w:eastAsia="黑体" w:hint="eastAsia"/>
          <w:b/>
          <w:sz w:val="28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一、本表的组织口径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二、本文基准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三、表 A · 同设置自跑基线（唯一"五同"对照）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四、表 B · 与同源文献报告值对照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五、效率对比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六、结论与措辞</w:t>
        </w:r>
      </w:hyperlink>
    </w:p>
    <w:p>
      <w:hyperlink w:anchor="_Toc_section_ref">
        <w:r>
          <w:rPr>
            <w:rFonts w:hint="eastAsia"/>
            <w:color w:val="000000"/>
            <w:u w:val="none"/>
          </w:rPr>
          <w:t xml:space="preserve">参考文献与出处登记</w:t>
        </w:r>
      </w:hyperlink>
    </w:p>
    <w:p>
      <w:pPr>
        <w:spacing w:after="120"/>
        <w:ind w:firstLine="0"/>
      </w:pPr>
      <w:r>
        <w:rPr>
          <w:rFonts w:ascii="宋体" w:hAnsi="宋体" w:eastAsia="宋体" w:cs="宋体" w:hint="eastAsia"/>
          <w:b/>
          <w:lang w:eastAsia="zh-CN"/>
        </w:rPr>
        <w:t>内容提要</w:t>
      </w:r>
    </w:p>
    <w:p>
      <w:pPr>
        <w:ind w:firstLine="480"/>
      </w:pPr>
      <w:r>
        <w:rPr>
          <w:rFonts w:ascii="宋体" w:eastAsia="宋体" w:hAnsi="宋体" w:cs="宋体" w:hint="eastAsia"/>
          <w:sz w:val="24"/>
          <w:lang w:eastAsia="zh-CN"/>
        </w:rPr>
        <w:t>本文档按学术论文主流的对比写法，把本文与同源文献的对照拆为两类表：表</w:t>
      </w:r>
      <w:r>
        <w:rPr>
          <w:sz w:val="24"/>
        </w:rPr>
        <w:t xml:space="preserve"> A </w:t>
      </w:r>
      <w:r>
        <w:rPr>
          <w:rFonts w:ascii="宋体" w:eastAsia="宋体" w:hAnsi="宋体" w:cs="宋体" w:hint="eastAsia"/>
          <w:sz w:val="24"/>
          <w:lang w:eastAsia="zh-CN"/>
        </w:rPr>
        <w:t>为</w:t>
      </w:r>
      <w:r>
        <w:rPr>
          <w:sz w:val="24"/>
        </w:rPr>
        <w:t>"</w:t>
      </w:r>
      <w:r>
        <w:rPr>
          <w:rFonts w:ascii="宋体" w:eastAsia="宋体" w:hAnsi="宋体" w:cs="宋体" w:hint="eastAsia"/>
          <w:sz w:val="24"/>
          <w:lang w:eastAsia="zh-CN"/>
        </w:rPr>
        <w:t>同设置自跑基线</w:t>
      </w:r>
      <w:r>
        <w:rPr>
          <w:sz w:val="24"/>
        </w:rPr>
        <w:t>"</w:t>
      </w:r>
      <w:r>
        <w:rPr>
          <w:rFonts w:ascii="宋体" w:eastAsia="宋体" w:hAnsi="宋体" w:cs="宋体" w:hint="eastAsia"/>
          <w:sz w:val="24"/>
          <w:lang w:eastAsia="zh-CN"/>
        </w:rPr>
        <w:t>，即按文献原始协议重跑本文模型所得的同口径结果；表</w:t>
      </w:r>
      <w:r>
        <w:rPr>
          <w:sz w:val="24"/>
        </w:rPr>
        <w:t xml:space="preserve"> B </w:t>
      </w:r>
      <w:r>
        <w:rPr>
          <w:rFonts w:ascii="宋体" w:eastAsia="宋体" w:hAnsi="宋体" w:cs="宋体" w:hint="eastAsia"/>
          <w:sz w:val="24"/>
          <w:lang w:eastAsia="zh-CN"/>
        </w:rPr>
        <w:t>为</w:t>
      </w:r>
      <w:r>
        <w:rPr>
          <w:sz w:val="24"/>
        </w:rPr>
        <w:t>"</w:t>
      </w:r>
      <w:r>
        <w:rPr>
          <w:rFonts w:ascii="宋体" w:eastAsia="宋体" w:hAnsi="宋体" w:cs="宋体" w:hint="eastAsia"/>
          <w:sz w:val="24"/>
          <w:lang w:eastAsia="zh-CN"/>
        </w:rPr>
        <w:t>与文献报告值对照</w:t>
      </w:r>
      <w:r>
        <w:rPr>
          <w:sz w:val="24"/>
        </w:rPr>
        <w:t>"</w:t>
      </w:r>
      <w:r>
        <w:rPr>
          <w:rFonts w:ascii="宋体" w:eastAsia="宋体" w:hAnsi="宋体" w:cs="宋体" w:hint="eastAsia"/>
          <w:sz w:val="24"/>
          <w:lang w:eastAsia="zh-CN"/>
        </w:rPr>
        <w:t>，逐行注明数据集、划分与设置差异。所有文献数字均为各文献原文报告值；本文数字来自</w:t>
      </w:r>
      <w:r>
        <w:rPr>
          <w:sz w:val="24"/>
        </w:rPr>
        <w:t xml:space="preserve"> SEU DDS </w:t>
      </w:r>
      <w:r>
        <w:rPr>
          <w:rFonts w:ascii="宋体" w:eastAsia="宋体" w:hAnsi="宋体" w:cs="宋体" w:hint="eastAsia"/>
          <w:sz w:val="24"/>
          <w:lang w:eastAsia="zh-CN"/>
        </w:rPr>
        <w:t>密封测试集（时间有序划分</w:t>
      </w:r>
      <w:r>
        <w:rPr>
          <w:sz w:val="24"/>
        </w:rPr>
        <w:t xml:space="preserve"> + 5 </w:t>
      </w:r>
      <w:r>
        <w:rPr>
          <w:rFonts w:ascii="宋体" w:eastAsia="宋体" w:hAnsi="宋体" w:cs="宋体" w:hint="eastAsia"/>
          <w:sz w:val="24"/>
          <w:lang w:eastAsia="zh-CN"/>
        </w:rPr>
        <w:t>折时间序列交叉验证，</w:t>
      </w:r>
      <w:r>
        <w:rPr>
          <w:sz w:val="24"/>
        </w:rPr>
        <w:t>resplit</w:t>
      </w:r>
      <w:r>
        <w:rPr>
          <w:rFonts w:ascii="宋体" w:eastAsia="宋体" w:hAnsi="宋体" w:cs="宋体" w:hint="eastAsia"/>
          <w:sz w:val="24"/>
          <w:lang w:eastAsia="zh-CN"/>
        </w:rPr>
        <w:t>，</w:t>
      </w:r>
      <w:r>
        <w:rPr>
          <w:sz w:val="24"/>
        </w:rPr>
        <w:t>seed 42</w:t>
      </w:r>
      <w:r>
        <w:rPr>
          <w:rFonts w:ascii="宋体" w:eastAsia="宋体" w:hAnsi="宋体" w:cs="宋体" w:hint="eastAsia"/>
          <w:sz w:val="24"/>
          <w:lang w:eastAsia="zh-CN"/>
        </w:rPr>
        <w:t>）。已撤下数据库不符的条目，并更正了此前文档中的若干引用错误。</w:t>
      </w:r>
    </w:p>
    <w:p>
      <w:pPr>
        <w:ind w:firstLine="0"/>
      </w:pPr>
      <w:r>
        <w:rPr>
          <w:rFonts w:ascii="宋体" w:eastAsia="宋体" w:hAnsi="宋体" w:cs="宋体" w:hint="eastAsia"/>
          <w:b/>
          <w:sz w:val="24"/>
          <w:lang w:eastAsia="zh-CN"/>
        </w:rPr>
        <w:t>关键词：</w:t>
      </w:r>
      <w:r>
        <w:rPr>
          <w:sz w:val="24"/>
        </w:rPr>
        <w:t>SEU DDS</w:t>
      </w:r>
      <w:r>
        <w:rPr>
          <w:rFonts w:ascii="宋体" w:eastAsia="宋体" w:hAnsi="宋体" w:cs="宋体" w:hint="eastAsia"/>
          <w:sz w:val="24"/>
          <w:lang w:eastAsia="zh-CN"/>
        </w:rPr>
        <w:t>；旋转机械故障诊断；符号化状态转移矩阵；对比口径；轻量化模型</w:t>
      </w:r>
    </w:p>
    <w:p>
      <w:bookmarkStart w:id="7" w:name="_Toc_section_1"/>
      <w:pPr>
        <w:pStyle w:val="Heading2"/>
      </w:pPr>
      <w:r>
        <w:rPr>
          <w:rFonts w:ascii="宋体" w:hAnsi="宋体" w:eastAsia="宋体" w:cs="宋体" w:hint="eastAsia"/>
          <w:b/>
          <w:sz w:val="28"/>
          <w:lang w:eastAsia="zh-CN"/>
        </w:rPr>
        <w:t>一、本表的组织口径</w:t>
      </w:r>
      <w:bookmarkEnd w:id="7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学术论文中的对比表分两类，本表按主流做法分列，不混在同一张表里。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表 A · 同设置自跑基线（fair comparison）</w:t>
      </w:r>
      <w:r>
        <w:rPr>
          <w:rFonts w:ascii="宋体" w:eastAsia="宋体" w:hAnsi="宋体" w:cs="宋体" w:hint="eastAsia"/>
          <w:lang w:eastAsia="zh-CN"/>
        </w:rPr>
        <w:t>：同一数据集、同一划分、同一预处理，自己把基线方法重跑一遍。所有数字设置完全一致，是方法学上唯一满足</w:t>
      </w:r>
      <w:r>
        <w:t>"</w:t>
      </w:r>
      <w:r>
        <w:rPr>
          <w:rFonts w:ascii="宋体" w:eastAsia="宋体" w:hAnsi="宋体" w:cs="宋体" w:hint="eastAsia"/>
          <w:lang w:eastAsia="zh-CN"/>
        </w:rPr>
        <w:t>同库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同任务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同数据量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同划分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同验证</w:t>
      </w:r>
      <w:r>
        <w:t>"</w:t>
      </w:r>
      <w:r>
        <w:rPr>
          <w:rFonts w:ascii="宋体" w:eastAsia="宋体" w:hAnsi="宋体" w:cs="宋体" w:hint="eastAsia"/>
          <w:lang w:eastAsia="zh-CN"/>
        </w:rPr>
        <w:t>的对照。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表 B · 与文献报告值对照（literature comparison）</w:t>
      </w:r>
      <w:r>
        <w:rPr>
          <w:rFonts w:ascii="宋体" w:eastAsia="宋体" w:hAnsi="宋体" w:cs="宋体" w:hint="eastAsia"/>
          <w:lang w:eastAsia="zh-CN"/>
        </w:rPr>
        <w:t>：引用各文献原文报告的数字，逐行注明数据集、划分与设置差异。这是学界主流写法，可接受的前提是把差异写清楚。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不进表的原则：不在同一个数据库（非</w:t>
      </w:r>
      <w:r>
        <w:t xml:space="preserve"> SEU</w:t>
      </w:r>
      <w:r>
        <w:rPr>
          <w:rFonts w:ascii="宋体" w:eastAsia="宋体" w:hAnsi="宋体" w:cs="宋体" w:hint="eastAsia"/>
          <w:lang w:eastAsia="zh-CN"/>
        </w:rPr>
        <w:t>）的结果一律不进对比表，仅在正文中作为领域背景提及。</w:t>
      </w:r>
    </w:p>
    <w:p>
      <w:bookmarkStart w:id="8" w:name="_Toc_section_2"/>
      <w:pPr>
        <w:pStyle w:val="Heading2"/>
      </w:pPr>
      <w:r>
        <w:rPr>
          <w:rFonts w:ascii="宋体" w:hAnsi="宋体" w:eastAsia="宋体" w:cs="宋体" w:hint="eastAsia"/>
          <w:b/>
          <w:sz w:val="28"/>
          <w:lang w:eastAsia="zh-CN"/>
        </w:rPr>
        <w:t>二、本文基准</w:t>
      </w:r>
      <w:bookmarkEnd w:id="8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任务设置为东南大学</w:t>
      </w:r>
      <w:r>
        <w:t xml:space="preserve"> SEU DDS </w:t>
      </w:r>
      <w:r>
        <w:rPr>
          <w:rFonts w:ascii="宋体" w:eastAsia="宋体" w:hAnsi="宋体" w:cs="宋体" w:hint="eastAsia"/>
          <w:lang w:eastAsia="zh-CN"/>
        </w:rPr>
        <w:t>数据集；轴承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类（</w:t>
      </w:r>
      <w:r>
        <w:t>Ball / Comb / Health / Inner / Outer</w:t>
      </w:r>
      <w:r>
        <w:rPr>
          <w:rFonts w:ascii="宋体" w:eastAsia="宋体" w:hAnsi="宋体" w:cs="宋体" w:hint="eastAsia"/>
          <w:lang w:eastAsia="zh-CN"/>
        </w:rPr>
        <w:t>）与齿轮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类（</w:t>
      </w:r>
      <w:r>
        <w:t>Chipped / Health / Miss / Root / Surface</w:t>
      </w:r>
      <w:r>
        <w:rPr>
          <w:rFonts w:ascii="宋体" w:eastAsia="宋体" w:hAnsi="宋体" w:cs="宋体" w:hint="eastAsia"/>
          <w:lang w:eastAsia="zh-CN"/>
        </w:rPr>
        <w:t>）分开建模；</w:t>
      </w:r>
      <w:r>
        <w:t>20 Hz–0 V</w:t>
      </w:r>
      <w:r>
        <w:rPr>
          <w:rFonts w:ascii="宋体" w:eastAsia="宋体" w:hAnsi="宋体" w:cs="宋体" w:hint="eastAsia"/>
          <w:lang w:eastAsia="zh-CN"/>
        </w:rPr>
        <w:t>（</w:t>
      </w:r>
      <w:r>
        <w:t>20-0</w:t>
      </w:r>
      <w:r>
        <w:rPr>
          <w:rFonts w:ascii="宋体" w:eastAsia="宋体" w:hAnsi="宋体" w:cs="宋体" w:hint="eastAsia"/>
          <w:lang w:eastAsia="zh-CN"/>
        </w:rPr>
        <w:t>）与</w:t>
      </w:r>
      <w:r>
        <w:t xml:space="preserve"> 30 Hz–2 V</w:t>
      </w:r>
      <w:r>
        <w:rPr>
          <w:rFonts w:ascii="宋体" w:eastAsia="宋体" w:hAnsi="宋体" w:cs="宋体" w:hint="eastAsia"/>
          <w:lang w:eastAsia="zh-CN"/>
        </w:rPr>
        <w:t>（</w:t>
      </w:r>
      <w:r>
        <w:t>30-2</w:t>
      </w:r>
      <w:r>
        <w:rPr>
          <w:rFonts w:ascii="宋体" w:eastAsia="宋体" w:hAnsi="宋体" w:cs="宋体" w:hint="eastAsia"/>
          <w:lang w:eastAsia="zh-CN"/>
        </w:rPr>
        <w:t>）两工况各自独立建模；任务性质为同工况内分类（非跨工况）；指标为准确率。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数据划分为时间有序划分，</w:t>
      </w:r>
      <w:r>
        <w:t>train / val / test / holdout = 65% / 15% / 10% / 10%</w:t>
      </w:r>
      <w:r>
        <w:rPr>
          <w:rFonts w:ascii="宋体" w:eastAsia="宋体" w:hAnsi="宋体" w:cs="宋体" w:hint="eastAsia"/>
          <w:lang w:eastAsia="zh-CN"/>
        </w:rPr>
        <w:t>（以齿轮</w:t>
      </w:r>
      <w:r>
        <w:t xml:space="preserve"> 20-0 </w:t>
      </w:r>
      <w:r>
        <w:rPr>
          <w:rFonts w:ascii="宋体" w:eastAsia="宋体" w:hAnsi="宋体" w:cs="宋体" w:hint="eastAsia"/>
          <w:lang w:eastAsia="zh-CN"/>
        </w:rPr>
        <w:t>为例：</w:t>
      </w:r>
      <w:r>
        <w:t>4250 / 975 / 650 / 650</w:t>
      </w:r>
      <w:r>
        <w:rPr>
          <w:rFonts w:ascii="宋体" w:eastAsia="宋体" w:hAnsi="宋体" w:cs="宋体" w:hint="eastAsia"/>
          <w:lang w:eastAsia="zh-CN"/>
        </w:rPr>
        <w:t>，共</w:t>
      </w:r>
      <w:r>
        <w:t xml:space="preserve"> 6525 </w:t>
      </w:r>
      <w:r>
        <w:rPr>
          <w:rFonts w:ascii="宋体" w:eastAsia="宋体" w:hAnsi="宋体" w:cs="宋体" w:hint="eastAsia"/>
          <w:lang w:eastAsia="zh-CN"/>
        </w:rPr>
        <w:t>条），密封测试集冻结后只评一次；另做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折时间序列交叉验证。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>任务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>工况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>架构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>密封测试准确率</w:t>
            </w:r>
          </w:p>
        </w:tc>
      </w:tr>
      <w:tr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轴承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20-0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CNN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99.85%</w:t>
            </w:r>
          </w:p>
        </w:tc>
      </w:tr>
      <w:tr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轴承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20-0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GCN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99.85%</w:t>
            </w:r>
          </w:p>
        </w:tc>
      </w:tr>
      <w:tr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轴承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30-2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CNN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100%</w:t>
            </w:r>
          </w:p>
        </w:tc>
      </w:tr>
      <w:tr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轴承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30-2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GCN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100%</w:t>
            </w:r>
          </w:p>
        </w:tc>
      </w:tr>
      <w:tr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齿轮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20-0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CNN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99.54%</w:t>
            </w:r>
          </w:p>
        </w:tc>
      </w:tr>
      <w:tr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齿轮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20-0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GCN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99.85%</w:t>
            </w:r>
          </w:p>
        </w:tc>
      </w:tr>
      <w:tr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齿轮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30-2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CNN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98.15%</w:t>
            </w:r>
          </w:p>
        </w:tc>
      </w:tr>
      <w:tr>
        <w:tc>
          <w:tcPr>
            <w:tcW w:type="dxa" w:w="216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齿轮</w:t>
            </w:r>
          </w:p>
        </w:tc>
        <w:tc>
          <w:tcPr>
            <w:tcW w:type="dxa" w:w="216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30-2</w:t>
            </w:r>
          </w:p>
        </w:tc>
        <w:tc>
          <w:tcPr>
            <w:tcW w:type="dxa" w:w="216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GCN</w:t>
            </w:r>
          </w:p>
        </w:tc>
        <w:tc>
          <w:tcPr>
            <w:tcW w:type="dxa" w:w="216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97.69%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 xml:space="preserve">汇总：轴承 </w:t>
      </w:r>
      <w:r>
        <w:rPr>
          <w:b/>
        </w:rPr>
        <w:t>99.85% ~ 100%</w:t>
      </w:r>
      <w:r>
        <w:rPr>
          <w:rFonts w:ascii="宋体" w:eastAsia="宋体" w:hAnsi="宋体" w:cs="宋体" w:hint="eastAsia"/>
          <w:lang w:eastAsia="zh-CN"/>
        </w:rPr>
        <w:t xml:space="preserve">；齿轮 </w:t>
      </w:r>
      <w:r>
        <w:rPr>
          <w:b/>
        </w:rPr>
        <w:t>97.69% ~ 99.85%</w:t>
      </w:r>
      <w:r>
        <w:rPr>
          <w:rFonts w:ascii="宋体" w:eastAsia="宋体" w:hAnsi="宋体" w:cs="宋体" w:hint="eastAsia"/>
          <w:lang w:eastAsia="zh-CN"/>
        </w:rPr>
        <w:t>；</w:t>
      </w:r>
      <w:r>
        <w:t xml:space="preserve">8 </w:t>
      </w:r>
      <w:r>
        <w:rPr>
          <w:rFonts w:ascii="宋体" w:eastAsia="宋体" w:hAnsi="宋体" w:cs="宋体" w:hint="eastAsia"/>
          <w:lang w:eastAsia="zh-CN"/>
        </w:rPr>
        <w:t>个组合合计</w:t>
      </w:r>
      <w:r>
        <w:t xml:space="preserve"> </w:t>
      </w:r>
      <w:r>
        <w:rPr>
          <w:b/>
        </w:rPr>
        <w:t>97.69% ~ 100%</w:t>
      </w:r>
      <w:r>
        <w:rPr>
          <w:rFonts w:ascii="宋体" w:eastAsia="宋体" w:hAnsi="宋体" w:cs="宋体" w:hint="eastAsia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>任务</w:t>
            </w:r>
          </w:p>
        </w:tc>
        <w:tc>
          <w:tcPr>
            <w:tcW w:type="dxa" w:w="1728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>工况</w:t>
            </w:r>
          </w:p>
        </w:tc>
        <w:tc>
          <w:tcPr>
            <w:tcW w:type="dxa" w:w="1728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>架构</w:t>
            </w:r>
          </w:p>
        </w:tc>
        <w:tc>
          <w:tcPr>
            <w:tcW w:type="dxa" w:w="1728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>折均值</w:t>
            </w:r>
            <w:r>
              <w:rPr>
                <w:rFonts w:ascii="黑体" w:hAnsi="黑体" w:eastAsia="黑体" w:hint="eastAsia"/>
                <w:b w:val="0"/>
                <w:sz w:val="18"/>
              </w:rPr>
              <w:t xml:space="preserve"> </w:t>
            </w:r>
            <w:r>
              <w:rPr>
                <w:rFonts w:ascii="黑体" w:hAnsi="黑体" w:eastAsia="黑体" w:hint="eastAsia"/>
                <w:b w:val="0"/>
                <w:sz w:val="18"/>
              </w:rPr>
              <w:t xml:space="preserve"> ± </w:t>
            </w:r>
            <w:r>
              <w:rPr>
                <w:rFonts w:ascii="黑体" w:hAnsi="黑体" w:eastAsia="黑体" w:hint="eastAsia"/>
                <w:b w:val="0"/>
                <w:sz w:val="18"/>
              </w:rPr>
              <w:t xml:space="preserve"> </w:t>
            </w:r>
            <w:r>
              <w:rPr>
                <w:rFonts w:ascii="黑体" w:hAnsi="黑体" w:eastAsia="黑体" w:hint="eastAsia"/>
                <w:b w:val="0"/>
                <w:sz w:val="18"/>
              </w:rPr>
              <w:t>标准差</w:t>
            </w:r>
          </w:p>
        </w:tc>
        <w:tc>
          <w:tcPr>
            <w:tcW w:type="dxa" w:w="1728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>折最低</w:t>
            </w:r>
          </w:p>
        </w:tc>
      </w:tr>
      <w:tr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轴承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20-0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CNN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99.82 ± 0.06%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99.69%</w:t>
            </w:r>
          </w:p>
        </w:tc>
      </w:tr>
      <w:tr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轴承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30-2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CNN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99.94 ± 0.07%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99.85%</w:t>
            </w:r>
          </w:p>
        </w:tc>
      </w:tr>
      <w:tr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轴承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20-0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GCN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99.75 ± 0.25%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99.38%</w:t>
            </w:r>
          </w:p>
        </w:tc>
      </w:tr>
      <w:tr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轴承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30-2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GCN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99.85 ± 0.31%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99.23%</w:t>
            </w:r>
          </w:p>
        </w:tc>
      </w:tr>
      <w:tr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齿轮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20-0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CNN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98.77 ± 0.46%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98.00%</w:t>
            </w:r>
          </w:p>
        </w:tc>
      </w:tr>
      <w:tr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齿轮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30-2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CNN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98.03 ± 0.66%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96.92%</w:t>
            </w:r>
          </w:p>
        </w:tc>
      </w:tr>
      <w:tr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齿轮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20-0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GCN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99.14 ± 0.56%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98.46%</w:t>
            </w:r>
          </w:p>
        </w:tc>
      </w:tr>
      <w:tr>
        <w:tc>
          <w:tcPr>
            <w:tcW w:type="dxa" w:w="1728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齿轮</w:t>
            </w:r>
          </w:p>
        </w:tc>
        <w:tc>
          <w:tcPr>
            <w:tcW w:type="dxa" w:w="1728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30-2</w:t>
            </w:r>
          </w:p>
        </w:tc>
        <w:tc>
          <w:tcPr>
            <w:tcW w:type="dxa" w:w="1728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GCN</w:t>
            </w:r>
          </w:p>
        </w:tc>
        <w:tc>
          <w:tcPr>
            <w:tcW w:type="dxa" w:w="1728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97.97 ± 0.51%</w:t>
            </w:r>
          </w:p>
        </w:tc>
        <w:tc>
          <w:tcPr>
            <w:tcW w:type="dxa" w:w="1728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97.08%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 xml:space="preserve">交叉验证最低单折 </w:t>
      </w:r>
      <w:r>
        <w:rPr>
          <w:b/>
        </w:rPr>
        <w:t>96.92%</w:t>
      </w:r>
      <w:r>
        <w:rPr>
          <w:rFonts w:ascii="宋体" w:eastAsia="宋体" w:hAnsi="宋体" w:cs="宋体" w:hint="eastAsia"/>
          <w:lang w:eastAsia="zh-CN"/>
        </w:rPr>
        <w:t>，全部</w:t>
      </w:r>
      <w:r>
        <w:t xml:space="preserve"> 40 </w:t>
      </w:r>
      <w:r>
        <w:rPr>
          <w:rFonts w:ascii="宋体" w:eastAsia="宋体" w:hAnsi="宋体" w:cs="宋体" w:hint="eastAsia"/>
          <w:lang w:eastAsia="zh-CN"/>
        </w:rPr>
        <w:t>折均不低于</w:t>
      </w:r>
      <w:r>
        <w:t xml:space="preserve"> 96.9%</w:t>
      </w:r>
      <w:r>
        <w:rPr>
          <w:rFonts w:ascii="宋体" w:eastAsia="宋体" w:hAnsi="宋体" w:cs="宋体" w:hint="eastAsia"/>
          <w:lang w:eastAsia="zh-CN"/>
        </w:rPr>
        <w:t>。</w:t>
      </w:r>
    </w:p>
    <w:p>
      <w:bookmarkStart w:id="9" w:name="_Toc_section_3"/>
      <w:pPr>
        <w:pStyle w:val="Heading2"/>
      </w:pPr>
      <w:r>
        <w:rPr>
          <w:rFonts w:ascii="宋体" w:hAnsi="宋体" w:eastAsia="宋体" w:cs="宋体" w:hint="eastAsia"/>
          <w:b/>
          <w:sz w:val="28"/>
          <w:lang w:eastAsia="zh-CN"/>
        </w:rPr>
        <w:t>三、表 A · 同设置自跑基线（唯一"五同"对照）</w:t>
      </w:r>
      <w:bookmarkEnd w:id="9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按两篇</w:t>
      </w:r>
      <w:r>
        <w:t xml:space="preserve"> SEU </w:t>
      </w:r>
      <w:r>
        <w:rPr>
          <w:rFonts w:ascii="宋体" w:eastAsia="宋体" w:hAnsi="宋体" w:cs="宋体" w:hint="eastAsia"/>
          <w:lang w:eastAsia="zh-CN"/>
        </w:rPr>
        <w:t>同源文献的原始协议（数据子集、划分比例、加噪设置）重跑本文模型，得到与原文完全同口径的数字。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>复现对象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>复现的协议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>本文复现结果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>原文报告值</w:t>
            </w:r>
          </w:p>
        </w:tc>
      </w:tr>
      <w:tr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文献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1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：改进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Transformer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（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Guan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等，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ACM AAIA 2023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）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齿轮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5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类、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20-0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与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30-2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合并、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80/20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、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SNR = 10 dB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（训练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9423 /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测试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2620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）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96.49%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99.4%</w:t>
            </w:r>
          </w:p>
        </w:tc>
      </w:tr>
      <w:tr>
        <w:tc>
          <w:tcPr>
            <w:tcW w:type="dxa" w:w="216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文献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5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：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MSRC + CBAM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（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Zhang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等，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IIETA 2026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）</w:t>
            </w:r>
          </w:p>
        </w:tc>
        <w:tc>
          <w:tcPr>
            <w:tcW w:type="dxa" w:w="216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各工况独立、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60%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训练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/ 40%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测试、干净信号（每工况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3533 / 2615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）</w:t>
            </w:r>
          </w:p>
        </w:tc>
        <w:tc>
          <w:tcPr>
            <w:tcW w:type="dxa" w:w="216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轴承</w:t>
            </w:r>
            <w:r>
              <w:rPr>
                <w:rFonts w:ascii="Courier New" w:hAnsi="Courier New" w:eastAsia="Courier New"/>
                <w:sz w:val="18"/>
              </w:rPr>
              <w:t xml:space="preserve"> </w:t>
            </w:r>
            <w:r>
              <w:rPr>
                <w:rFonts w:ascii="Courier New" w:hAnsi="Courier New" w:eastAsia="Courier New"/>
                <w:sz w:val="18"/>
              </w:rPr>
              <w:t xml:space="preserve"> 20-0 99.92%</w:t>
            </w:r>
            <w:r>
              <w:rPr>
                <w:rFonts w:ascii="Courier New" w:hAnsi="Courier New" w:eastAsia="Courier New"/>
                <w:sz w:val="18"/>
              </w:rPr>
              <w:t xml:space="preserve"> </w:t>
            </w:r>
            <w:r>
              <w:rPr>
                <w:rFonts w:ascii="Courier New" w:hAnsi="Courier New" w:eastAsia="Courier New"/>
                <w:sz w:val="18"/>
              </w:rPr>
              <w:t>、</w:t>
            </w:r>
            <w:r>
              <w:rPr>
                <w:rFonts w:ascii="Courier New" w:hAnsi="Courier New" w:eastAsia="Courier New"/>
                <w:sz w:val="18"/>
              </w:rPr>
              <w:t xml:space="preserve"> </w:t>
            </w:r>
            <w:r>
              <w:rPr>
                <w:rFonts w:ascii="Courier New" w:hAnsi="Courier New" w:eastAsia="Courier New"/>
                <w:sz w:val="18"/>
              </w:rPr>
              <w:t>30-2 100%</w:t>
            </w:r>
            <w:r>
              <w:rPr>
                <w:rFonts w:ascii="Courier New" w:hAnsi="Courier New" w:eastAsia="Courier New"/>
                <w:sz w:val="18"/>
              </w:rPr>
              <w:t xml:space="preserve"> </w:t>
            </w:r>
            <w:r>
              <w:rPr>
                <w:rFonts w:ascii="Courier New" w:hAnsi="Courier New" w:eastAsia="Courier New"/>
                <w:sz w:val="18"/>
              </w:rPr>
              <w:t>；齿轮</w:t>
            </w:r>
            <w:r>
              <w:rPr>
                <w:rFonts w:ascii="Courier New" w:hAnsi="Courier New" w:eastAsia="Courier New"/>
                <w:sz w:val="18"/>
              </w:rPr>
              <w:t xml:space="preserve"> </w:t>
            </w:r>
            <w:r>
              <w:rPr>
                <w:rFonts w:ascii="Courier New" w:hAnsi="Courier New" w:eastAsia="Courier New"/>
                <w:sz w:val="18"/>
              </w:rPr>
              <w:t xml:space="preserve"> 20-0 98.55%</w:t>
            </w:r>
            <w:r>
              <w:rPr>
                <w:rFonts w:ascii="Courier New" w:hAnsi="Courier New" w:eastAsia="Courier New"/>
                <w:sz w:val="18"/>
              </w:rPr>
              <w:t xml:space="preserve"> </w:t>
            </w:r>
            <w:r>
              <w:rPr>
                <w:rFonts w:ascii="Courier New" w:hAnsi="Courier New" w:eastAsia="Courier New"/>
                <w:sz w:val="18"/>
              </w:rPr>
              <w:t>、</w:t>
            </w:r>
            <w:r>
              <w:rPr>
                <w:rFonts w:ascii="Courier New" w:hAnsi="Courier New" w:eastAsia="Courier New"/>
                <w:sz w:val="18"/>
              </w:rPr>
              <w:t xml:space="preserve"> </w:t>
            </w:r>
            <w:r>
              <w:rPr>
                <w:rFonts w:ascii="Courier New" w:hAnsi="Courier New" w:eastAsia="Courier New"/>
                <w:sz w:val="18"/>
              </w:rPr>
              <w:t>30-2 96.18%</w:t>
            </w:r>
          </w:p>
        </w:tc>
        <w:tc>
          <w:tcPr>
            <w:tcW w:type="dxa" w:w="216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轴承</w:t>
            </w:r>
            <w:r>
              <w:rPr>
                <w:rFonts w:ascii="Courier New" w:hAnsi="Courier New" w:eastAsia="Courier New"/>
                <w:sz w:val="18"/>
              </w:rPr>
              <w:t xml:space="preserve"> </w:t>
            </w:r>
            <w:r>
              <w:rPr>
                <w:rFonts w:ascii="Courier New" w:hAnsi="Courier New" w:eastAsia="Courier New"/>
                <w:sz w:val="18"/>
              </w:rPr>
              <w:t xml:space="preserve"> 99.4 ~ 99.6%</w:t>
            </w:r>
            <w:r>
              <w:rPr>
                <w:rFonts w:ascii="Courier New" w:hAnsi="Courier New" w:eastAsia="Courier New"/>
                <w:sz w:val="18"/>
              </w:rPr>
              <w:t xml:space="preserve"> </w:t>
            </w:r>
            <w:r>
              <w:rPr>
                <w:rFonts w:ascii="Courier New" w:hAnsi="Courier New" w:eastAsia="Courier New"/>
                <w:sz w:val="18"/>
              </w:rPr>
              <w:t>；齿轮</w:t>
            </w:r>
            <w:r>
              <w:rPr>
                <w:rFonts w:ascii="Courier New" w:hAnsi="Courier New" w:eastAsia="Courier New"/>
                <w:sz w:val="18"/>
              </w:rPr>
              <w:t xml:space="preserve"> </w:t>
            </w:r>
            <w:r>
              <w:rPr>
                <w:rFonts w:ascii="Courier New" w:hAnsi="Courier New" w:eastAsia="Courier New"/>
                <w:sz w:val="18"/>
              </w:rPr>
              <w:t xml:space="preserve"> 99.4 ~ 99.8%</w:t>
            </w:r>
          </w:p>
        </w:tc>
      </w:tr>
    </w:tbl>
    <w:p>
      <w:pPr>
        <w:ind w:firstLine="480"/>
        <w:pBdr>
          <w:left w:val="single" w:sz="18" w:space="0" w:color="000000"/>
        </w:pBdr>
      </w:pPr>
      <w:r>
        <w:t xml:space="preserve">  </w:t>
      </w:r>
      <w:r>
        <w:rPr>
          <w:rFonts w:ascii="宋体" w:eastAsia="宋体" w:hAnsi="宋体" w:cs="宋体" w:hint="eastAsia"/>
          <w:lang w:eastAsia="zh-CN"/>
        </w:rPr>
        <w:t>如实说明：其一，在文献</w:t>
      </w:r>
      <w:r>
        <w:t xml:space="preserve"> 1 </w:t>
      </w:r>
      <w:r>
        <w:rPr>
          <w:rFonts w:ascii="宋体" w:eastAsia="宋体" w:hAnsi="宋体" w:cs="宋体" w:hint="eastAsia"/>
          <w:lang w:eastAsia="zh-CN"/>
        </w:rPr>
        <w:t>的</w:t>
      </w:r>
      <w:r>
        <w:t>"</w:t>
      </w:r>
      <w:r>
        <w:rPr>
          <w:rFonts w:ascii="宋体" w:eastAsia="宋体" w:hAnsi="宋体" w:cs="宋体" w:hint="eastAsia"/>
          <w:lang w:eastAsia="zh-CN"/>
        </w:rPr>
        <w:t>齿轮跨工况合并</w:t>
      </w:r>
      <w:r>
        <w:t xml:space="preserve"> + SNR 10 dB"</w:t>
      </w:r>
      <w:r>
        <w:rPr>
          <w:rFonts w:ascii="宋体" w:eastAsia="宋体" w:hAnsi="宋体" w:cs="宋体" w:hint="eastAsia"/>
          <w:lang w:eastAsia="zh-CN"/>
        </w:rPr>
        <w:t>协议下，本文方法为</w:t>
      </w:r>
      <w:r>
        <w:t xml:space="preserve"> 96.49%</w:t>
      </w:r>
      <w:r>
        <w:rPr>
          <w:rFonts w:ascii="宋体" w:eastAsia="宋体" w:hAnsi="宋体" w:cs="宋体" w:hint="eastAsia"/>
          <w:lang w:eastAsia="zh-CN"/>
        </w:rPr>
        <w:t>，低于该文报告的</w:t>
      </w:r>
      <w:r>
        <w:t xml:space="preserve"> 99.4%</w:t>
      </w:r>
      <w:r>
        <w:rPr>
          <w:rFonts w:ascii="宋体" w:eastAsia="宋体" w:hAnsi="宋体" w:cs="宋体" w:hint="eastAsia"/>
          <w:lang w:eastAsia="zh-CN"/>
        </w:rPr>
        <w:t>（差约</w:t>
      </w:r>
      <w:r>
        <w:t xml:space="preserve"> 2.9 </w:t>
      </w:r>
      <w:r>
        <w:rPr>
          <w:rFonts w:ascii="宋体" w:eastAsia="宋体" w:hAnsi="宋体" w:cs="宋体" w:hint="eastAsia"/>
          <w:lang w:eastAsia="zh-CN"/>
        </w:rPr>
        <w:t>个百分点），即在该强噪声齿轮任务上对方的多尺度</w:t>
      </w:r>
      <w:r>
        <w:t xml:space="preserve"> Transformer </w:t>
      </w:r>
      <w:r>
        <w:rPr>
          <w:rFonts w:ascii="宋体" w:eastAsia="宋体" w:hAnsi="宋体" w:cs="宋体" w:hint="eastAsia"/>
          <w:lang w:eastAsia="zh-CN"/>
        </w:rPr>
        <w:t>更强，此点不回避。其二，在文献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的</w:t>
      </w:r>
      <w:r>
        <w:t xml:space="preserve"> 60% </w:t>
      </w:r>
      <w:r>
        <w:rPr>
          <w:rFonts w:ascii="宋体" w:eastAsia="宋体" w:hAnsi="宋体" w:cs="宋体" w:hint="eastAsia"/>
          <w:lang w:eastAsia="zh-CN"/>
        </w:rPr>
        <w:t>训练协议下，本文轴承两项达到</w:t>
      </w:r>
      <w:r>
        <w:t xml:space="preserve"> 99.92% </w:t>
      </w:r>
      <w:r>
        <w:rPr>
          <w:rFonts w:ascii="宋体" w:eastAsia="宋体" w:hAnsi="宋体" w:cs="宋体" w:hint="eastAsia"/>
          <w:lang w:eastAsia="zh-CN"/>
        </w:rPr>
        <w:t>与</w:t>
      </w:r>
      <w:r>
        <w:t xml:space="preserve"> 100%</w:t>
      </w:r>
      <w:r>
        <w:rPr>
          <w:rFonts w:ascii="宋体" w:eastAsia="宋体" w:hAnsi="宋体" w:cs="宋体" w:hint="eastAsia"/>
          <w:lang w:eastAsia="zh-CN"/>
        </w:rPr>
        <w:t>，高于其报告的</w:t>
      </w:r>
      <w:r>
        <w:t xml:space="preserve"> 99.4 ~ 99.6%</w:t>
      </w:r>
      <w:r>
        <w:rPr>
          <w:rFonts w:ascii="宋体" w:eastAsia="宋体" w:hAnsi="宋体" w:cs="宋体" w:hint="eastAsia"/>
          <w:lang w:eastAsia="zh-CN"/>
        </w:rPr>
        <w:t>；齿轮</w:t>
      </w:r>
      <w:r>
        <w:t xml:space="preserve"> 20-0 </w:t>
      </w:r>
      <w:r>
        <w:rPr>
          <w:rFonts w:ascii="宋体" w:eastAsia="宋体" w:hAnsi="宋体" w:cs="宋体" w:hint="eastAsia"/>
          <w:lang w:eastAsia="zh-CN"/>
        </w:rPr>
        <w:t>的</w:t>
      </w:r>
      <w:r>
        <w:t xml:space="preserve"> 98.55% </w:t>
      </w:r>
      <w:r>
        <w:rPr>
          <w:rFonts w:ascii="宋体" w:eastAsia="宋体" w:hAnsi="宋体" w:cs="宋体" w:hint="eastAsia"/>
          <w:lang w:eastAsia="zh-CN"/>
        </w:rPr>
        <w:t>与其报告区间相当，齿轮</w:t>
      </w:r>
      <w:r>
        <w:t xml:space="preserve"> 30-2 </w:t>
      </w:r>
      <w:r>
        <w:rPr>
          <w:rFonts w:ascii="宋体" w:eastAsia="宋体" w:hAnsi="宋体" w:cs="宋体" w:hint="eastAsia"/>
          <w:lang w:eastAsia="zh-CN"/>
        </w:rPr>
        <w:t>的</w:t>
      </w:r>
      <w:r>
        <w:t xml:space="preserve"> 96.18% </w:t>
      </w:r>
      <w:r>
        <w:rPr>
          <w:rFonts w:ascii="宋体" w:eastAsia="宋体" w:hAnsi="宋体" w:cs="宋体" w:hint="eastAsia"/>
          <w:lang w:eastAsia="zh-CN"/>
        </w:rPr>
        <w:t>略低于其报告值。其三，文献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原文以</w:t>
      </w:r>
      <w:r>
        <w:t xml:space="preserve"> G1 / G2 </w:t>
      </w:r>
      <w:r>
        <w:rPr>
          <w:rFonts w:ascii="宋体" w:eastAsia="宋体" w:hAnsi="宋体" w:cs="宋体" w:hint="eastAsia"/>
          <w:lang w:eastAsia="zh-CN"/>
        </w:rPr>
        <w:t>指代两个工况，其与</w:t>
      </w:r>
      <w:r>
        <w:t xml:space="preserve"> 20-0 / 30-2 </w:t>
      </w:r>
      <w:r>
        <w:rPr>
          <w:rFonts w:ascii="宋体" w:eastAsia="宋体" w:hAnsi="宋体" w:cs="宋体" w:hint="eastAsia"/>
          <w:lang w:eastAsia="zh-CN"/>
        </w:rPr>
        <w:t>的对应关系系按</w:t>
      </w:r>
      <w:r>
        <w:t xml:space="preserve"> SEU </w:t>
      </w:r>
      <w:r>
        <w:rPr>
          <w:rFonts w:ascii="宋体" w:eastAsia="宋体" w:hAnsi="宋体" w:cs="宋体" w:hint="eastAsia"/>
          <w:lang w:eastAsia="zh-CN"/>
        </w:rPr>
        <w:t>公开数据背景推断，引用时需注明。</w:t>
      </w:r>
    </w:p>
    <w:p>
      <w:bookmarkStart w:id="10" w:name="_Toc_section_4"/>
      <w:pPr>
        <w:pStyle w:val="Heading2"/>
      </w:pPr>
      <w:r>
        <w:rPr>
          <w:rFonts w:ascii="宋体" w:hAnsi="宋体" w:eastAsia="宋体" w:cs="宋体" w:hint="eastAsia"/>
          <w:b/>
          <w:sz w:val="28"/>
          <w:lang w:eastAsia="zh-CN"/>
        </w:rPr>
        <w:t>四、表 B · 与同源文献报告值对照</w:t>
      </w:r>
      <w:bookmarkEnd w:id="10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下表汇总各文献在</w:t>
      </w:r>
      <w:r>
        <w:t xml:space="preserve"> SEU </w:t>
      </w:r>
      <w:r>
        <w:rPr>
          <w:rFonts w:ascii="宋体" w:eastAsia="宋体" w:hAnsi="宋体" w:cs="宋体" w:hint="eastAsia"/>
          <w:lang w:eastAsia="zh-CN"/>
        </w:rPr>
        <w:t>数据集上原文报告的结果，逐行给出其数据集范围、划分方式与设置差异，以及与本表的可比性判断。凡数据库不同者已单独列于第四小节撤下。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（一）齿轮箱任务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>来源文献</w:t>
            </w:r>
          </w:p>
        </w:tc>
        <w:tc>
          <w:tcPr>
            <w:tcW w:type="dxa" w:w="1728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>报告方法</w:t>
            </w:r>
          </w:p>
        </w:tc>
        <w:tc>
          <w:tcPr>
            <w:tcW w:type="dxa" w:w="1728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>报告准确率</w:t>
            </w:r>
          </w:p>
        </w:tc>
        <w:tc>
          <w:tcPr>
            <w:tcW w:type="dxa" w:w="1728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>划分与设置</w:t>
            </w:r>
          </w:p>
        </w:tc>
        <w:tc>
          <w:tcPr>
            <w:tcW w:type="dxa" w:w="1728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>可比性说明</w:t>
            </w:r>
          </w:p>
        </w:tc>
      </w:tr>
      <w:tr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 xml:space="preserve">Zhang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等，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Algorithms 2023, 16(6):304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 xml:space="preserve">SVMD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模糊熵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+ k-NN / + RF / + GBDT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；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SVMD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能量熵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+ SVM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20-0</w:t>
            </w:r>
            <w:r>
              <w:rPr>
                <w:rFonts w:ascii="Courier New" w:hAnsi="Courier New" w:eastAsia="Courier New"/>
                <w:sz w:val="18"/>
              </w:rPr>
              <w:t xml:space="preserve"> </w:t>
            </w:r>
            <w:r>
              <w:rPr>
                <w:rFonts w:ascii="Courier New" w:hAnsi="Courier New" w:eastAsia="Courier New"/>
                <w:sz w:val="18"/>
              </w:rPr>
              <w:t>：</w:t>
            </w:r>
            <w:r>
              <w:rPr>
                <w:rFonts w:ascii="Courier New" w:hAnsi="Courier New" w:eastAsia="Courier New"/>
                <w:sz w:val="18"/>
              </w:rPr>
              <w:t xml:space="preserve"> </w:t>
            </w:r>
            <w:r>
              <w:rPr>
                <w:rFonts w:ascii="Courier New" w:hAnsi="Courier New" w:eastAsia="Courier New"/>
                <w:sz w:val="18"/>
              </w:rPr>
              <w:t>94.42 / 96.02 / 95.22 / 91.27</w:t>
            </w:r>
            <w:r>
              <w:rPr>
                <w:rFonts w:ascii="Courier New" w:hAnsi="Courier New" w:eastAsia="Courier New"/>
                <w:sz w:val="18"/>
              </w:rPr>
              <w:t xml:space="preserve"> </w:t>
            </w:r>
            <w:r>
              <w:rPr>
                <w:rFonts w:ascii="Courier New" w:hAnsi="Courier New" w:eastAsia="Courier New"/>
                <w:sz w:val="18"/>
              </w:rPr>
              <w:t>；</w:t>
            </w:r>
            <w:r>
              <w:rPr>
                <w:rFonts w:ascii="Courier New" w:hAnsi="Courier New" w:eastAsia="Courier New"/>
                <w:sz w:val="18"/>
              </w:rPr>
              <w:t xml:space="preserve"> </w:t>
            </w:r>
            <w:r>
              <w:rPr>
                <w:rFonts w:ascii="Courier New" w:hAnsi="Courier New" w:eastAsia="Courier New"/>
                <w:sz w:val="18"/>
              </w:rPr>
              <w:t>30-2</w:t>
            </w:r>
            <w:r>
              <w:rPr>
                <w:rFonts w:ascii="Courier New" w:hAnsi="Courier New" w:eastAsia="Courier New"/>
                <w:sz w:val="18"/>
              </w:rPr>
              <w:t xml:space="preserve"> </w:t>
            </w:r>
            <w:r>
              <w:rPr>
                <w:rFonts w:ascii="Courier New" w:hAnsi="Courier New" w:eastAsia="Courier New"/>
                <w:sz w:val="18"/>
              </w:rPr>
              <w:t>：</w:t>
            </w:r>
            <w:r>
              <w:rPr>
                <w:rFonts w:ascii="Courier New" w:hAnsi="Courier New" w:eastAsia="Courier New"/>
                <w:sz w:val="18"/>
              </w:rPr>
              <w:t xml:space="preserve"> </w:t>
            </w:r>
            <w:r>
              <w:rPr>
                <w:rFonts w:ascii="Courier New" w:hAnsi="Courier New" w:eastAsia="Courier New"/>
                <w:sz w:val="18"/>
              </w:rPr>
              <w:t>90.98 / 93.33 / 89.41 / 90.20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每工况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255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样本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/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类（共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1275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条）；原文无训练集，全部数据用于测试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同库同任务；但无划分、无交叉验证，数字为样本内拟合值</w:t>
            </w:r>
          </w:p>
        </w:tc>
      </w:tr>
      <w:tr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 xml:space="preserve">Cheng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等，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AMMMP 2024, Vol. 93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LSTM / CNN / CNN-LSTM / CNN-AM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90.75 / 92.90 / 94.82 / 96.28</w:t>
            </w:r>
            <w:r>
              <w:rPr>
                <w:rFonts w:ascii="Courier New" w:hAnsi="Courier New" w:eastAsia="Courier New"/>
                <w:sz w:val="18"/>
              </w:rPr>
              <w:t xml:space="preserve"> </w:t>
            </w:r>
            <w:r>
              <w:rPr>
                <w:rFonts w:ascii="Courier New" w:hAnsi="Courier New" w:eastAsia="Courier New"/>
                <w:sz w:val="18"/>
              </w:rPr>
              <w:t>（</w:t>
            </w:r>
            <w:r>
              <w:rPr>
                <w:rFonts w:ascii="Courier New" w:hAnsi="Courier New" w:eastAsia="Courier New"/>
                <w:sz w:val="18"/>
              </w:rPr>
              <w:t xml:space="preserve"> </w:t>
            </w:r>
            <w:r>
              <w:rPr>
                <w:rFonts w:ascii="Courier New" w:hAnsi="Courier New" w:eastAsia="Courier New"/>
                <w:sz w:val="18"/>
              </w:rPr>
              <w:t xml:space="preserve">10 </w:t>
            </w:r>
            <w:r>
              <w:rPr>
                <w:rFonts w:ascii="Courier New" w:hAnsi="Courier New" w:eastAsia="Courier New"/>
                <w:sz w:val="18"/>
              </w:rPr>
              <w:t xml:space="preserve"> </w:t>
            </w:r>
            <w:r>
              <w:rPr>
                <w:rFonts w:ascii="Courier New" w:hAnsi="Courier New" w:eastAsia="Courier New"/>
                <w:sz w:val="18"/>
              </w:rPr>
              <w:t>次重复均值）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 xml:space="preserve">20-0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单工况；每类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800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训练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+ 200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测试；无交叉验证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同库同任务同划分思路；但为会议论文集，且其自报最优为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98.5%</w:t>
            </w:r>
          </w:p>
        </w:tc>
      </w:tr>
      <w:tr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IAMCNN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，华东理工大学学报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2024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BP / CNN / LSTM / ResNet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（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SEU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表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1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单通道电机信号）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82.03 / 85.46 / 90.29 / 95.35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4 : 1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同库同任务</w:t>
            </w:r>
          </w:p>
        </w:tc>
      </w:tr>
      <w:tr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CA-DRSN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，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Sensors 2024, 24(14):4633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AlexNet / BiLSTM / ResNet18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77.7 / 91.1 / 95.5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 xml:space="preserve">80/20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随机划分；训练集加高斯噪声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加噪设置，须与本文加噪结果对照，不可对干净信号结果</w:t>
            </w:r>
          </w:p>
        </w:tc>
      </w:tr>
      <w:tr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多模态深度融合，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ACM CIISAI 2025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Transformer / CNN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71.08 / 97.27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划分未明确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划分不明；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Transformer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数值异常偏低，引用前须复核原文设置</w:t>
            </w:r>
          </w:p>
        </w:tc>
      </w:tr>
      <w:tr>
        <w:tc>
          <w:tcPr>
            <w:tcW w:type="dxa" w:w="1728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本文（齿轮）</w:t>
            </w:r>
          </w:p>
        </w:tc>
        <w:tc>
          <w:tcPr>
            <w:tcW w:type="dxa" w:w="1728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符号化状态转移矩阵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+ CNN / GCN</w:t>
            </w:r>
          </w:p>
        </w:tc>
        <w:tc>
          <w:tcPr>
            <w:tcW w:type="dxa" w:w="1728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97.69 ~ 99.85%</w:t>
            </w:r>
          </w:p>
        </w:tc>
        <w:tc>
          <w:tcPr>
            <w:tcW w:type="dxa" w:w="1728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时间有序划分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+ 5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折时间序列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CV</w:t>
            </w:r>
          </w:p>
        </w:tc>
        <w:tc>
          <w:tcPr>
            <w:tcW w:type="dxa" w:w="1728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基准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（二）轴承任务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>来源文献</w:t>
            </w:r>
          </w:p>
        </w:tc>
        <w:tc>
          <w:tcPr>
            <w:tcW w:type="dxa" w:w="1728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>报告方法</w:t>
            </w:r>
          </w:p>
        </w:tc>
        <w:tc>
          <w:tcPr>
            <w:tcW w:type="dxa" w:w="1728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>报告准确率</w:t>
            </w:r>
          </w:p>
        </w:tc>
        <w:tc>
          <w:tcPr>
            <w:tcW w:type="dxa" w:w="1728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>划分与设置</w:t>
            </w:r>
          </w:p>
        </w:tc>
        <w:tc>
          <w:tcPr>
            <w:tcW w:type="dxa" w:w="1728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>可比性说明</w:t>
            </w:r>
          </w:p>
        </w:tc>
      </w:tr>
      <w:tr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 xml:space="preserve">Zhang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等，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Algorithms 2023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 xml:space="preserve">VMD / SVMD ×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能量熵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/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模糊熵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× SVM / k-NN / RF / GBDT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（表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5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完整网格）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91.76 ~ 99.61%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无划分、无交叉验证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同库同任务</w:t>
            </w:r>
          </w:p>
        </w:tc>
      </w:tr>
      <w:tr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多模态深度融合，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ACM CIISAI 2025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Transformer / CNN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63.56 / 89.50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划分未明确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划分不明，引用前须复核</w:t>
            </w:r>
          </w:p>
        </w:tc>
      </w:tr>
      <w:tr>
        <w:tc>
          <w:tcPr>
            <w:tcW w:type="dxa" w:w="1728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本文（轴承）</w:t>
            </w:r>
          </w:p>
        </w:tc>
        <w:tc>
          <w:tcPr>
            <w:tcW w:type="dxa" w:w="1728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符号化状态转移矩阵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+ CNN / GCN</w:t>
            </w:r>
          </w:p>
        </w:tc>
        <w:tc>
          <w:tcPr>
            <w:tcW w:type="dxa" w:w="1728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99.85 ~ 100%</w:t>
            </w:r>
          </w:p>
        </w:tc>
        <w:tc>
          <w:tcPr>
            <w:tcW w:type="dxa" w:w="1728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时间有序划分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+ 5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折时间序列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CV</w:t>
            </w:r>
          </w:p>
        </w:tc>
        <w:tc>
          <w:tcPr>
            <w:tcW w:type="dxa" w:w="1728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基准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（三）任务或设置不同（仅作量级参照，不进主表）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>来源文献</w:t>
            </w:r>
          </w:p>
        </w:tc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>报告方法</w:t>
            </w:r>
            <w:r>
              <w:rPr>
                <w:rFonts w:ascii="黑体" w:hAnsi="黑体" w:eastAsia="黑体" w:hint="eastAsia"/>
                <w:b w:val="0"/>
                <w:sz w:val="18"/>
              </w:rPr>
              <w:t xml:space="preserve"> </w:t>
            </w:r>
            <w:r>
              <w:rPr>
                <w:rFonts w:ascii="黑体" w:hAnsi="黑体" w:eastAsia="黑体" w:hint="eastAsia"/>
                <w:b w:val="0"/>
                <w:sz w:val="18"/>
              </w:rPr>
              <w:t xml:space="preserve"> / </w:t>
            </w:r>
            <w:r>
              <w:rPr>
                <w:rFonts w:ascii="黑体" w:hAnsi="黑体" w:eastAsia="黑体" w:hint="eastAsia"/>
                <w:b w:val="0"/>
                <w:sz w:val="18"/>
              </w:rPr>
              <w:t xml:space="preserve"> </w:t>
            </w:r>
            <w:r>
              <w:rPr>
                <w:rFonts w:ascii="黑体" w:hAnsi="黑体" w:eastAsia="黑体" w:hint="eastAsia"/>
                <w:b w:val="0"/>
                <w:sz w:val="18"/>
              </w:rPr>
              <w:t>准确率</w:t>
            </w:r>
          </w:p>
        </w:tc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>与本表的差异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 xml:space="preserve">Kibrete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等，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J. Eng. (Wiley) 2025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CNN 94.12 / LSTM 94.90 / 1D CNN 97.67 / 1D CNN-LSTM 99.15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SEU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，但为变工况、齿轮与轴承合并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10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健康状态、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2048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点、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6600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训练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/ 250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测试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MGE-ResNet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，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Processes 2025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SVM 81.46±4.28 / TICNN 88.50±8.14 / Ni-Net 96.81±3.05 / Improved AlexNet 97.94±1.91 / SE-ResNet152 95.65±4.22 / MGE-ResNet 99.44±0.42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 xml:space="preserve">SEU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轴承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10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类（两工况合并），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3:1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，每类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100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样本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SCBM-Net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，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Sci. Rep. 2025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98.33%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 xml:space="preserve">SEU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轴承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10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类，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70:30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SAGAN-IResNet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，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Sci. Rep. 2025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92.57 ~ 98.50%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 xml:space="preserve">SEU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轴承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5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类，少样本设置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MSRC+CBAM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，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IIETA 2026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LeNet 79.57 / AlexNet 97.33 / MSCNN 94.19</w:t>
            </w:r>
            <w:r>
              <w:rPr>
                <w:rFonts w:ascii="Courier New" w:hAnsi="Courier New" w:eastAsia="Courier New"/>
                <w:sz w:val="18"/>
              </w:rPr>
              <w:t xml:space="preserve"> </w:t>
            </w:r>
            <w:r>
              <w:rPr>
                <w:rFonts w:ascii="Courier New" w:hAnsi="Courier New" w:eastAsia="Courier New"/>
                <w:sz w:val="18"/>
              </w:rPr>
              <w:t>（</w:t>
            </w:r>
            <w:r>
              <w:rPr>
                <w:rFonts w:ascii="Courier New" w:hAnsi="Courier New" w:eastAsia="Courier New"/>
                <w:sz w:val="18"/>
              </w:rPr>
              <w:t xml:space="preserve"> </w:t>
            </w:r>
            <w:r>
              <w:rPr>
                <w:rFonts w:ascii="Courier New" w:hAnsi="Courier New" w:eastAsia="Courier New"/>
                <w:sz w:val="18"/>
              </w:rPr>
              <w:t xml:space="preserve">60% </w:t>
            </w:r>
            <w:r>
              <w:rPr>
                <w:rFonts w:ascii="Courier New" w:hAnsi="Courier New" w:eastAsia="Courier New"/>
                <w:sz w:val="18"/>
              </w:rPr>
              <w:t xml:space="preserve"> </w:t>
            </w:r>
            <w:r>
              <w:rPr>
                <w:rFonts w:ascii="Courier New" w:hAnsi="Courier New" w:eastAsia="Courier New"/>
                <w:sz w:val="18"/>
              </w:rPr>
              <w:t>训练）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划分比例不同（另报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30%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训练）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ADAMFFN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，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Machines 2025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94.54%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 xml:space="preserve">SEU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齿轮跨工况迁移</w:t>
            </w:r>
          </w:p>
        </w:tc>
      </w:tr>
      <w:tr>
        <w:tc>
          <w:tcPr>
            <w:tcW w:type="dxa" w:w="288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WDATL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，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Wiley 2021</w:t>
            </w:r>
          </w:p>
        </w:tc>
        <w:tc>
          <w:tcPr>
            <w:tcW w:type="dxa" w:w="288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76.17%</w:t>
            </w:r>
            <w:r>
              <w:rPr>
                <w:rFonts w:ascii="Courier New" w:hAnsi="Courier New" w:eastAsia="Courier New"/>
                <w:sz w:val="18"/>
              </w:rPr>
              <w:t xml:space="preserve"> </w:t>
            </w:r>
            <w:r>
              <w:rPr>
                <w:rFonts w:ascii="Courier New" w:hAnsi="Courier New" w:eastAsia="Courier New"/>
                <w:sz w:val="18"/>
              </w:rPr>
              <w:t>（</w:t>
            </w:r>
            <w:r>
              <w:rPr>
                <w:rFonts w:ascii="Courier New" w:hAnsi="Courier New" w:eastAsia="Courier New"/>
                <w:sz w:val="18"/>
              </w:rPr>
              <w:t xml:space="preserve"> </w:t>
            </w:r>
            <w:r>
              <w:rPr>
                <w:rFonts w:ascii="Courier New" w:hAnsi="Courier New" w:eastAsia="Courier New"/>
                <w:sz w:val="18"/>
              </w:rPr>
              <w:t xml:space="preserve">CNN </w:t>
            </w:r>
            <w:r>
              <w:rPr>
                <w:rFonts w:ascii="Courier New" w:hAnsi="Courier New" w:eastAsia="Courier New"/>
                <w:sz w:val="18"/>
              </w:rPr>
              <w:t xml:space="preserve"> </w:t>
            </w:r>
            <w:r>
              <w:rPr>
                <w:rFonts w:ascii="Courier New" w:hAnsi="Courier New" w:eastAsia="Courier New"/>
                <w:sz w:val="18"/>
              </w:rPr>
              <w:t>基线</w:t>
            </w:r>
            <w:r>
              <w:rPr>
                <w:rFonts w:ascii="Courier New" w:hAnsi="Courier New" w:eastAsia="Courier New"/>
                <w:sz w:val="18"/>
              </w:rPr>
              <w:t xml:space="preserve"> </w:t>
            </w:r>
            <w:r>
              <w:rPr>
                <w:rFonts w:ascii="Courier New" w:hAnsi="Courier New" w:eastAsia="Courier New"/>
                <w:sz w:val="18"/>
              </w:rPr>
              <w:t xml:space="preserve"> 33.65%</w:t>
            </w:r>
            <w:r>
              <w:rPr>
                <w:rFonts w:ascii="Courier New" w:hAnsi="Courier New" w:eastAsia="Courier New"/>
                <w:sz w:val="18"/>
              </w:rPr>
              <w:t xml:space="preserve"> </w:t>
            </w:r>
            <w:r>
              <w:rPr>
                <w:rFonts w:ascii="Courier New" w:hAnsi="Courier New" w:eastAsia="Courier New"/>
                <w:sz w:val="18"/>
              </w:rPr>
              <w:t>）</w:t>
            </w:r>
          </w:p>
        </w:tc>
        <w:tc>
          <w:tcPr>
            <w:tcW w:type="dxa" w:w="288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 xml:space="preserve">SEU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轴承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+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齿轮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0→1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迁移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（四）已撤下（数据库不符，不进对比表）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>原列入项</w:t>
            </w:r>
          </w:p>
        </w:tc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>核查结论</w:t>
            </w:r>
          </w:p>
        </w:tc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>处置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FE-MCFormer / FEMSN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，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arXiv:2505.06285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原文使用的数据集为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Paderborn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大学轴承数据集与离心压缩机数据集，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"Southeast / SEU"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作为数据集出现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0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次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撤下；其强噪声对照表（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MSCNN-LSTM 28.16%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、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WDCNN 66.16%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等）一并撤下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MSCNN-LSTM-CBAM-SE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，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Sensors 2024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 xml:space="preserve">HUST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齿轮箱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非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SEU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，不进表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 xml:space="preserve">SFDA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跨工况迁移，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RESS 2023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风电齿轮箱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非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SEU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，不进表</w:t>
            </w:r>
          </w:p>
        </w:tc>
      </w:tr>
      <w:tr>
        <w:tc>
          <w:tcPr>
            <w:tcW w:type="dxa" w:w="288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高阶矩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LHOM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特征，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Measurement 2023</w:t>
            </w:r>
          </w:p>
        </w:tc>
        <w:tc>
          <w:tcPr>
            <w:tcW w:type="dxa" w:w="288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 xml:space="preserve">IIT / PHM / XJTU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三个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benchmark</w:t>
            </w:r>
          </w:p>
        </w:tc>
        <w:tc>
          <w:tcPr>
            <w:tcW w:type="dxa" w:w="288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非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SEU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，不进表</w:t>
            </w:r>
          </w:p>
        </w:tc>
      </w:tr>
    </w:tbl>
    <w:p>
      <w:bookmarkStart w:id="4" w:name="section-5"/>
      <w:bookmarkEnd w:id="4"/>
    </w:p>
    <w:p>
      <w:bookmarkStart w:id="11" w:name="_Toc_section_5"/>
      <w:pPr>
        <w:pStyle w:val="Heading2"/>
      </w:pPr>
      <w:r>
        <w:rPr>
          <w:rFonts w:ascii="宋体" w:hAnsi="宋体" w:eastAsia="宋体" w:cs="宋体" w:hint="eastAsia"/>
          <w:b/>
          <w:sz w:val="28"/>
          <w:lang w:eastAsia="zh-CN"/>
        </w:rPr>
        <w:t>五、效率对比</w:t>
      </w:r>
      <w:bookmarkEnd w:id="11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本文为实测值（</w:t>
      </w:r>
      <w:r>
        <w:t>RTX 4060</w:t>
      </w:r>
      <w:r>
        <w:rPr>
          <w:rFonts w:ascii="宋体" w:eastAsia="宋体" w:hAnsi="宋体" w:cs="宋体" w:hint="eastAsia"/>
          <w:lang w:eastAsia="zh-CN"/>
        </w:rPr>
        <w:t>，</w:t>
      </w:r>
      <w:r>
        <w:t>batch = 32</w:t>
      </w:r>
      <w:r>
        <w:rPr>
          <w:rFonts w:ascii="宋体" w:eastAsia="宋体" w:hAnsi="宋体" w:cs="宋体" w:hint="eastAsia"/>
          <w:lang w:eastAsia="zh-CN"/>
        </w:rPr>
        <w:t>，</w:t>
      </w:r>
      <w:r>
        <w:t>efficiency.json</w:t>
      </w:r>
      <w:r>
        <w:rPr>
          <w:rFonts w:ascii="宋体" w:eastAsia="宋体" w:hAnsi="宋体" w:cs="宋体" w:hint="eastAsia"/>
          <w:lang w:eastAsia="zh-CN"/>
        </w:rPr>
        <w:t>）；文献为原文报告值。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（一）本文实测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>任务</w:t>
            </w:r>
            <w:r>
              <w:rPr>
                <w:rFonts w:ascii="黑体" w:hAnsi="黑体" w:eastAsia="黑体" w:hint="eastAsia"/>
                <w:b w:val="0"/>
                <w:sz w:val="18"/>
              </w:rPr>
              <w:t xml:space="preserve"> </w:t>
            </w:r>
            <w:r>
              <w:rPr>
                <w:rFonts w:ascii="黑体" w:hAnsi="黑体" w:eastAsia="黑体" w:hint="eastAsia"/>
                <w:b w:val="0"/>
                <w:sz w:val="18"/>
              </w:rPr>
              <w:t xml:space="preserve"> · </w:t>
            </w:r>
            <w:r>
              <w:rPr>
                <w:rFonts w:ascii="黑体" w:hAnsi="黑体" w:eastAsia="黑体" w:hint="eastAsia"/>
                <w:b w:val="0"/>
                <w:sz w:val="18"/>
              </w:rPr>
              <w:t xml:space="preserve"> </w:t>
            </w:r>
            <w:r>
              <w:rPr>
                <w:rFonts w:ascii="黑体" w:hAnsi="黑体" w:eastAsia="黑体" w:hint="eastAsia"/>
                <w:b w:val="0"/>
                <w:sz w:val="18"/>
              </w:rPr>
              <w:t>架构</w:t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>参数量</w:t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>模型大小</w:t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 xml:space="preserve">FLOPs / </w:t>
            </w:r>
            <w:r>
              <w:rPr>
                <w:rFonts w:ascii="黑体" w:hAnsi="黑体" w:eastAsia="黑体" w:hint="eastAsia"/>
                <w:b w:val="0"/>
                <w:sz w:val="18"/>
              </w:rPr>
              <w:t xml:space="preserve"> </w:t>
            </w:r>
            <w:r>
              <w:rPr>
                <w:rFonts w:ascii="黑体" w:hAnsi="黑体" w:eastAsia="黑体" w:hint="eastAsia"/>
                <w:b w:val="0"/>
                <w:sz w:val="18"/>
              </w:rPr>
              <w:t>样本</w:t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>单样本延迟</w:t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>吞吐量</w:t>
            </w:r>
          </w:p>
        </w:tc>
      </w:tr>
      <w:tr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轴承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· CNN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25,093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104 KB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0.384 M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0.028 ms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36,529 / s</w:t>
            </w:r>
          </w:p>
        </w:tc>
      </w:tr>
      <w:tr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轴承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· GCN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18,549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79 KB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0.558 M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0.041 ms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24,827 / s</w:t>
            </w:r>
          </w:p>
        </w:tc>
      </w:tr>
      <w:tr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齿轮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· CNN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25,093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104 KB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0.384 M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0.019 ms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52,711 / s</w:t>
            </w:r>
          </w:p>
        </w:tc>
      </w:tr>
      <w:tr>
        <w:tc>
          <w:tcPr>
            <w:tcW w:type="dxa" w:w="144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齿轮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 · GCN</w:t>
            </w:r>
          </w:p>
        </w:tc>
        <w:tc>
          <w:tcPr>
            <w:tcW w:type="dxa" w:w="144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18,549</w:t>
            </w:r>
          </w:p>
        </w:tc>
        <w:tc>
          <w:tcPr>
            <w:tcW w:type="dxa" w:w="144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79 KB</w:t>
            </w:r>
          </w:p>
        </w:tc>
        <w:tc>
          <w:tcPr>
            <w:tcW w:type="dxa" w:w="144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0.558 M</w:t>
            </w:r>
          </w:p>
        </w:tc>
        <w:tc>
          <w:tcPr>
            <w:tcW w:type="dxa" w:w="144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0.040 ms</w:t>
            </w:r>
          </w:p>
        </w:tc>
        <w:tc>
          <w:tcPr>
            <w:tcW w:type="dxa" w:w="144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25,564 / s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输入为</w:t>
      </w:r>
      <w:r>
        <w:t xml:space="preserve"> 21 × 6 × 6 </w:t>
      </w:r>
      <w:r>
        <w:rPr>
          <w:rFonts w:ascii="宋体" w:eastAsia="宋体" w:hAnsi="宋体" w:cs="宋体" w:hint="eastAsia"/>
          <w:lang w:eastAsia="zh-CN"/>
        </w:rPr>
        <w:t>的符号化状态转移矩阵（非原始振动信号）；延迟按</w:t>
      </w:r>
      <w:r>
        <w:t xml:space="preserve"> batch = 32 </w:t>
      </w:r>
      <w:r>
        <w:rPr>
          <w:rFonts w:ascii="宋体" w:eastAsia="宋体" w:hAnsi="宋体" w:cs="宋体" w:hint="eastAsia"/>
          <w:lang w:eastAsia="zh-CN"/>
        </w:rPr>
        <w:t>折算到单样本。峰值显存为</w:t>
      </w:r>
      <w:r>
        <w:t xml:space="preserve"> 18.2 MB</w:t>
      </w:r>
      <w:r>
        <w:rPr>
          <w:rFonts w:ascii="宋体" w:eastAsia="宋体" w:hAnsi="宋体" w:cs="宋体" w:hint="eastAsia"/>
          <w:lang w:eastAsia="zh-CN"/>
        </w:rPr>
        <w:t>（</w:t>
      </w:r>
      <w:r>
        <w:t>CNN</w:t>
      </w:r>
      <w:r>
        <w:rPr>
          <w:rFonts w:ascii="宋体" w:eastAsia="宋体" w:hAnsi="宋体" w:cs="宋体" w:hint="eastAsia"/>
          <w:lang w:eastAsia="zh-CN"/>
        </w:rPr>
        <w:t>）与</w:t>
      </w:r>
      <w:r>
        <w:t xml:space="preserve"> 20.8 MB</w:t>
      </w:r>
      <w:r>
        <w:rPr>
          <w:rFonts w:ascii="宋体" w:eastAsia="宋体" w:hAnsi="宋体" w:cs="宋体" w:hint="eastAsia"/>
          <w:lang w:eastAsia="zh-CN"/>
        </w:rPr>
        <w:t>（</w:t>
      </w:r>
      <w:r>
        <w:t>GCN</w:t>
      </w:r>
      <w:r>
        <w:rPr>
          <w:rFonts w:ascii="宋体" w:eastAsia="宋体" w:hAnsi="宋体" w:cs="宋体" w:hint="eastAsia"/>
          <w:lang w:eastAsia="zh-CN"/>
        </w:rPr>
        <w:t>）。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（二）同源文献报告值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>来源文献</w:t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>方法</w:t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>参数量</w:t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>FLOPs</w:t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>延迟</w:t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黑体" w:hAnsi="黑体" w:eastAsia="黑体" w:hint="eastAsia"/>
                <w:b w:val="0"/>
                <w:sz w:val="18"/>
              </w:rPr>
              <w:t>模型大小</w:t>
            </w:r>
          </w:p>
        </w:tc>
      </w:tr>
      <w:tr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DSMC-ECA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，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Sensors 2026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（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SEU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齿轮）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其方法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0.204 M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10.037 M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—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—</w:t>
            </w:r>
          </w:p>
        </w:tc>
      </w:tr>
      <w:tr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ADGCC-Net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，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Processes 2025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（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SEU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轴承）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其方法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—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—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—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0.082 MB</w:t>
            </w:r>
          </w:p>
        </w:tc>
      </w:tr>
      <w:tr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STCSE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，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JVC 2026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（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SEU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齿轮）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其方法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2.1 M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800 M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—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—</w:t>
            </w:r>
          </w:p>
        </w:tc>
      </w:tr>
      <w:tr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MGE-ResNet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，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Processes 2025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（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SEU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轴承）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其方法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—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1,990 M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—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—</w:t>
            </w:r>
          </w:p>
        </w:tc>
      </w:tr>
      <w:tr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ADAMFFN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，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Machines 2026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（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 xml:space="preserve">SEU 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齿轮）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其方法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—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—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端到端</w:t>
            </w:r>
            <w:r>
              <w:rPr>
                <w:rFonts w:ascii="Courier New" w:hAnsi="Courier New" w:eastAsia="Courier New"/>
                <w:sz w:val="18"/>
              </w:rPr>
              <w:t xml:space="preserve"> </w:t>
            </w:r>
            <w:r>
              <w:rPr>
                <w:rFonts w:ascii="Courier New" w:hAnsi="Courier New" w:eastAsia="Courier New"/>
                <w:sz w:val="18"/>
              </w:rPr>
              <w:t xml:space="preserve"> 35 ms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6.69 MB</w:t>
            </w:r>
          </w:p>
        </w:tc>
      </w:tr>
      <w:tr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港口起重机轻量化，</w:t>
            </w:r>
            <w:r>
              <w:rPr>
                <w:rFonts w:ascii="宋体" w:hAnsi="宋体" w:eastAsia="宋体" w:hint="eastAsia"/>
                <w:sz w:val="18"/>
              </w:rPr>
              <w:t xml:space="preserve"> </w:t>
            </w:r>
            <w:r>
              <w:rPr>
                <w:rFonts w:ascii="宋体" w:hAnsi="宋体" w:eastAsia="宋体" w:hint="eastAsia"/>
                <w:sz w:val="18"/>
              </w:rPr>
              <w:t>Actuators 2026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WDCNN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2.87 M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386.5 M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3.64 ms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—</w:t>
            </w:r>
          </w:p>
        </w:tc>
      </w:tr>
      <w:tr>
        <w:tc>
          <w:tcPr>
            <w:tcW w:type="dxa" w:w="144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同上</w:t>
            </w:r>
          </w:p>
        </w:tc>
        <w:tc>
          <w:tcPr>
            <w:tcW w:type="dxa" w:w="144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ResNet-18</w:t>
            </w:r>
          </w:p>
        </w:tc>
        <w:tc>
          <w:tcPr>
            <w:tcW w:type="dxa" w:w="144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9.18 M</w:t>
            </w:r>
          </w:p>
        </w:tc>
        <w:tc>
          <w:tcPr>
            <w:tcW w:type="dxa" w:w="144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1,728.6 M</w:t>
            </w:r>
          </w:p>
        </w:tc>
        <w:tc>
          <w:tcPr>
            <w:tcW w:type="dxa" w:w="144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Courier New" w:hAnsi="Courier New" w:eastAsia="Courier New"/>
                <w:sz w:val="18"/>
              </w:rPr>
              <w:t>10.32 ms</w:t>
            </w:r>
          </w:p>
        </w:tc>
        <w:tc>
          <w:tcPr>
            <w:tcW w:type="dxa" w:w="1440"/>
            <w:vAlign w:val="center"/>
            <w:tcBorders>
              <w:bottom w:val="single" w:sz="12" w:space="0" w:color="000000"/>
              <w:left w:val="none" w:sz="6" w:space="0" w:color="000000"/>
              <w:right w:val="none" w:sz="6" w:space="0" w:color="000000"/>
            </w:tcBorders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  <w:ind w:firstLine="0"/>
            </w:pPr>
            <w:r>
              <w:rPr>
                <w:rFonts w:ascii="宋体" w:hAnsi="宋体" w:eastAsia="宋体" w:hint="eastAsia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（三）诚实边界（引用时必须同时写明）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其一，</w:t>
      </w:r>
      <w:r>
        <w:t xml:space="preserve">FLOPs </w:t>
      </w:r>
      <w:r>
        <w:rPr>
          <w:rFonts w:ascii="宋体" w:eastAsia="宋体" w:hAnsi="宋体" w:cs="宋体" w:hint="eastAsia"/>
          <w:lang w:eastAsia="zh-CN"/>
        </w:rPr>
        <w:t>与输入模态强相关：本文输入为</w:t>
      </w:r>
      <w:r>
        <w:t xml:space="preserve"> 21 × 6 × 6 </w:t>
      </w:r>
      <w:r>
        <w:rPr>
          <w:rFonts w:ascii="宋体" w:eastAsia="宋体" w:hAnsi="宋体" w:cs="宋体" w:hint="eastAsia"/>
          <w:lang w:eastAsia="zh-CN"/>
        </w:rPr>
        <w:t>符号矩阵，文献多用</w:t>
      </w:r>
      <w:r>
        <w:t xml:space="preserve"> 1024 / 2048 / 4096 </w:t>
      </w:r>
      <w:r>
        <w:rPr>
          <w:rFonts w:ascii="宋体" w:eastAsia="宋体" w:hAnsi="宋体" w:cs="宋体" w:hint="eastAsia"/>
          <w:lang w:eastAsia="zh-CN"/>
        </w:rPr>
        <w:t>点原始信号或</w:t>
      </w:r>
      <w:r>
        <w:t xml:space="preserve"> 224 × 224 </w:t>
      </w:r>
      <w:r>
        <w:rPr>
          <w:rFonts w:ascii="宋体" w:eastAsia="宋体" w:hAnsi="宋体" w:cs="宋体" w:hint="eastAsia"/>
          <w:lang w:eastAsia="zh-CN"/>
        </w:rPr>
        <w:t>图像，口径不完全相同。故仅主张</w:t>
      </w:r>
      <w:r>
        <w:t>"</w:t>
      </w:r>
      <w:r>
        <w:rPr>
          <w:rFonts w:ascii="宋体" w:eastAsia="宋体" w:hAnsi="宋体" w:cs="宋体" w:hint="eastAsia"/>
          <w:lang w:eastAsia="zh-CN"/>
        </w:rPr>
        <w:t>各自报告口径下本模型最轻</w:t>
      </w:r>
      <w:r>
        <w:t>"</w:t>
      </w:r>
      <w:r>
        <w:rPr>
          <w:rFonts w:ascii="宋体" w:eastAsia="宋体" w:hAnsi="宋体" w:cs="宋体" w:hint="eastAsia"/>
          <w:lang w:eastAsia="zh-CN"/>
        </w:rPr>
        <w:t>，不夸大为</w:t>
      </w:r>
      <w:r>
        <w:t>"</w:t>
      </w:r>
      <w:r>
        <w:rPr>
          <w:rFonts w:ascii="宋体" w:eastAsia="宋体" w:hAnsi="宋体" w:cs="宋体" w:hint="eastAsia"/>
          <w:lang w:eastAsia="zh-CN"/>
        </w:rPr>
        <w:t>快几千倍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其二，硬件不同：本文延迟与吞吐在</w:t>
      </w:r>
      <w:r>
        <w:t xml:space="preserve"> RTX 4060</w:t>
      </w:r>
      <w:r>
        <w:rPr>
          <w:rFonts w:ascii="宋体" w:eastAsia="宋体" w:hAnsi="宋体" w:cs="宋体" w:hint="eastAsia"/>
          <w:lang w:eastAsia="zh-CN"/>
        </w:rPr>
        <w:t>（</w:t>
      </w:r>
      <w:r>
        <w:t>batch = 32</w:t>
      </w:r>
      <w:r>
        <w:rPr>
          <w:rFonts w:ascii="宋体" w:eastAsia="宋体" w:hAnsi="宋体" w:cs="宋体" w:hint="eastAsia"/>
          <w:lang w:eastAsia="zh-CN"/>
        </w:rPr>
        <w:t>）测得，文献硬件未知，跨论文的绝对延迟仅作量级参照。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其三，最可靠的三项是参数量、模型大小与同硬件延迟（与输入模态无关或弱相关），是最站得住的效率优势。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其四，同赛道有对手：</w:t>
      </w:r>
      <w:r>
        <w:t>ADGCC-Net</w:t>
      </w:r>
      <w:r>
        <w:rPr>
          <w:rFonts w:ascii="宋体" w:eastAsia="宋体" w:hAnsi="宋体" w:cs="宋体" w:hint="eastAsia"/>
          <w:lang w:eastAsia="zh-CN"/>
        </w:rPr>
        <w:t>（</w:t>
      </w:r>
      <w:r>
        <w:t>Processes 2025</w:t>
      </w:r>
      <w:r>
        <w:rPr>
          <w:rFonts w:ascii="宋体" w:eastAsia="宋体" w:hAnsi="宋体" w:cs="宋体" w:hint="eastAsia"/>
          <w:lang w:eastAsia="zh-CN"/>
        </w:rPr>
        <w:t>）模型</w:t>
      </w:r>
      <w:r>
        <w:t xml:space="preserve"> 0.082 MB</w:t>
      </w:r>
      <w:r>
        <w:rPr>
          <w:rFonts w:ascii="宋体" w:eastAsia="宋体" w:hAnsi="宋体" w:cs="宋体" w:hint="eastAsia"/>
          <w:lang w:eastAsia="zh-CN"/>
        </w:rPr>
        <w:t>，与本文</w:t>
      </w:r>
      <w:r>
        <w:t xml:space="preserve"> 79 ~ 104 KB </w:t>
      </w:r>
      <w:r>
        <w:rPr>
          <w:rFonts w:ascii="宋体" w:eastAsia="宋体" w:hAnsi="宋体" w:cs="宋体" w:hint="eastAsia"/>
          <w:lang w:eastAsia="zh-CN"/>
        </w:rPr>
        <w:t>同量级，说明轻量赛道并非无人。</w:t>
      </w:r>
    </w:p>
    <w:p>
      <w:bookmarkStart w:id="12" w:name="_Toc_section_6"/>
      <w:pPr>
        <w:pStyle w:val="Heading2"/>
      </w:pPr>
      <w:r>
        <w:rPr>
          <w:rFonts w:ascii="宋体" w:hAnsi="宋体" w:eastAsia="宋体" w:cs="宋体" w:hint="eastAsia"/>
          <w:b/>
          <w:sz w:val="28"/>
          <w:lang w:eastAsia="zh-CN"/>
        </w:rPr>
        <w:t>六、结论与措辞</w:t>
      </w:r>
      <w:bookmarkEnd w:id="12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综合第二至五节的数据，本文与同源文献的关系可归纳为四点结论，并给出可直接用于论文与汇报的措辞模板及必须同时注明的事项。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（一）结论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其一，准确率属同一水平：同库同任务的文献报告值集中在</w:t>
      </w:r>
      <w:r>
        <w:t xml:space="preserve"> 89 ~ 99.6%</w:t>
      </w:r>
      <w:r>
        <w:rPr>
          <w:rFonts w:ascii="宋体" w:eastAsia="宋体" w:hAnsi="宋体" w:cs="宋体" w:hint="eastAsia"/>
          <w:lang w:eastAsia="zh-CN"/>
        </w:rPr>
        <w:t>，本文</w:t>
      </w:r>
      <w:r>
        <w:t xml:space="preserve"> 97.69 ~ 100% </w:t>
      </w:r>
      <w:r>
        <w:rPr>
          <w:rFonts w:ascii="宋体" w:eastAsia="宋体" w:hAnsi="宋体" w:cs="宋体" w:hint="eastAsia"/>
          <w:lang w:eastAsia="zh-CN"/>
        </w:rPr>
        <w:t>落在同一档，既不明显领先、也不落后。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其二，优势在任务覆盖面：多数同源文献只做齿轮或只做轴承，本文轴承与齿轮两个任务、两个工况共</w:t>
      </w:r>
      <w:r>
        <w:t xml:space="preserve"> 8 </w:t>
      </w:r>
      <w:r>
        <w:rPr>
          <w:rFonts w:ascii="宋体" w:eastAsia="宋体" w:hAnsi="宋体" w:cs="宋体" w:hint="eastAsia"/>
          <w:lang w:eastAsia="zh-CN"/>
        </w:rPr>
        <w:t>个组合全部完成，且是同工况内分类这一标准任务设定。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其三，优势在评估严谨性：多数文献使用随机划分、重叠采样或全量数据自评，本文使用时间有序划分、密封测试集与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折时间序列交叉验证，同样分数含金量更高。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其四，优势在效率：</w:t>
      </w:r>
      <w:r>
        <w:t xml:space="preserve">CNN </w:t>
      </w:r>
      <w:r>
        <w:rPr>
          <w:rFonts w:ascii="宋体" w:eastAsia="宋体" w:hAnsi="宋体" w:cs="宋体" w:hint="eastAsia"/>
          <w:lang w:eastAsia="zh-CN"/>
        </w:rPr>
        <w:t>仅</w:t>
      </w:r>
      <w:r>
        <w:t xml:space="preserve"> 25,093 </w:t>
      </w:r>
      <w:r>
        <w:rPr>
          <w:rFonts w:ascii="宋体" w:eastAsia="宋体" w:hAnsi="宋体" w:cs="宋体" w:hint="eastAsia"/>
          <w:lang w:eastAsia="zh-CN"/>
        </w:rPr>
        <w:t>参数、</w:t>
      </w:r>
      <w:r>
        <w:t>104 KB</w:t>
      </w:r>
      <w:r>
        <w:rPr>
          <w:rFonts w:ascii="宋体" w:eastAsia="宋体" w:hAnsi="宋体" w:cs="宋体" w:hint="eastAsia"/>
          <w:lang w:eastAsia="zh-CN"/>
        </w:rPr>
        <w:t>、</w:t>
      </w:r>
      <w:r>
        <w:t>0.384 MFLOPs</w:t>
      </w:r>
      <w:r>
        <w:rPr>
          <w:rFonts w:ascii="宋体" w:eastAsia="宋体" w:hAnsi="宋体" w:cs="宋体" w:hint="eastAsia"/>
          <w:lang w:eastAsia="zh-CN"/>
        </w:rPr>
        <w:t>，单样本</w:t>
      </w:r>
      <w:r>
        <w:t xml:space="preserve"> 0.019 ~ 0.028 ms</w:t>
      </w:r>
      <w:r>
        <w:rPr>
          <w:rFonts w:ascii="宋体" w:eastAsia="宋体" w:hAnsi="宋体" w:cs="宋体" w:hint="eastAsia"/>
          <w:lang w:eastAsia="zh-CN"/>
        </w:rPr>
        <w:t>，吞吐</w:t>
      </w:r>
      <w:r>
        <w:t xml:space="preserve"> 3.7 </w:t>
      </w:r>
      <w:r>
        <w:rPr>
          <w:rFonts w:ascii="宋体" w:eastAsia="宋体" w:hAnsi="宋体" w:cs="宋体" w:hint="eastAsia"/>
          <w:lang w:eastAsia="zh-CN"/>
        </w:rPr>
        <w:t>万</w:t>
      </w:r>
      <w:r>
        <w:t xml:space="preserve"> ~ 5.3 </w:t>
      </w:r>
      <w:r>
        <w:rPr>
          <w:rFonts w:ascii="宋体" w:eastAsia="宋体" w:hAnsi="宋体" w:cs="宋体" w:hint="eastAsia"/>
          <w:lang w:eastAsia="zh-CN"/>
        </w:rPr>
        <w:t>万样本每秒。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（二）措辞模板（可直接引用）</w:t>
      </w:r>
    </w:p>
    <w:p>
      <w:pPr>
        <w:ind w:firstLine="480"/>
        <w:pBdr>
          <w:left w:val="single" w:sz="18" w:space="0" w:color="000000"/>
        </w:pBdr>
      </w:pPr>
      <w:r>
        <w:t xml:space="preserve">  </w:t>
      </w:r>
      <w:r>
        <w:rPr>
          <w:rFonts w:ascii="宋体" w:eastAsia="宋体" w:hAnsi="宋体" w:cs="宋体" w:hint="eastAsia"/>
          <w:lang w:eastAsia="zh-CN"/>
        </w:rPr>
        <w:t>在同一个</w:t>
      </w:r>
      <w:r>
        <w:t xml:space="preserve"> SEU </w:t>
      </w:r>
      <w:r>
        <w:rPr>
          <w:rFonts w:ascii="宋体" w:eastAsia="宋体" w:hAnsi="宋体" w:cs="宋体" w:hint="eastAsia"/>
          <w:lang w:eastAsia="zh-CN"/>
        </w:rPr>
        <w:t>数据集、同一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分类任务、同一准确率指标下，同源文献报告的传统信号分解加机器学习方法在齿轮任务上为</w:t>
      </w:r>
      <w:r>
        <w:t xml:space="preserve"> 89.41 ~ 96.02%</w:t>
      </w:r>
      <w:r>
        <w:rPr>
          <w:rFonts w:ascii="宋体" w:eastAsia="宋体" w:hAnsi="宋体" w:cs="宋体" w:hint="eastAsia"/>
          <w:lang w:eastAsia="zh-CN"/>
        </w:rPr>
        <w:t>、轴承任务为</w:t>
      </w:r>
      <w:r>
        <w:t xml:space="preserve"> 91.76 ~ 99.61%</w:t>
      </w:r>
      <w:r>
        <w:rPr>
          <w:rFonts w:ascii="宋体" w:eastAsia="宋体" w:hAnsi="宋体" w:cs="宋体" w:hint="eastAsia"/>
          <w:lang w:eastAsia="zh-CN"/>
        </w:rPr>
        <w:t>，常见深度基线（</w:t>
      </w:r>
      <w:r>
        <w:t>CNN</w:t>
      </w:r>
      <w:r>
        <w:rPr>
          <w:rFonts w:ascii="宋体" w:eastAsia="宋体" w:hAnsi="宋体" w:cs="宋体" w:hint="eastAsia"/>
          <w:lang w:eastAsia="zh-CN"/>
        </w:rPr>
        <w:t>、</w:t>
      </w:r>
      <w:r>
        <w:t>LSTM</w:t>
      </w:r>
      <w:r>
        <w:rPr>
          <w:rFonts w:ascii="宋体" w:eastAsia="宋体" w:hAnsi="宋体" w:cs="宋体" w:hint="eastAsia"/>
          <w:lang w:eastAsia="zh-CN"/>
        </w:rPr>
        <w:t>、</w:t>
      </w:r>
      <w:r>
        <w:t xml:space="preserve">Transformer </w:t>
      </w:r>
      <w:r>
        <w:rPr>
          <w:rFonts w:ascii="宋体" w:eastAsia="宋体" w:hAnsi="宋体" w:cs="宋体" w:hint="eastAsia"/>
          <w:lang w:eastAsia="zh-CN"/>
        </w:rPr>
        <w:t>等）为</w:t>
      </w:r>
      <w:r>
        <w:t xml:space="preserve"> 63.56 ~ 97.27%</w:t>
      </w:r>
      <w:r>
        <w:rPr>
          <w:rFonts w:ascii="宋体" w:eastAsia="宋体" w:hAnsi="宋体" w:cs="宋体" w:hint="eastAsia"/>
          <w:lang w:eastAsia="zh-CN"/>
        </w:rPr>
        <w:t>；本文在完全相同的数据集与任务上分别为</w:t>
      </w:r>
      <w:r>
        <w:t xml:space="preserve"> 97.69 ~ 99.85% </w:t>
      </w:r>
      <w:r>
        <w:rPr>
          <w:rFonts w:ascii="宋体" w:eastAsia="宋体" w:hAnsi="宋体" w:cs="宋体" w:hint="eastAsia"/>
          <w:lang w:eastAsia="zh-CN"/>
        </w:rPr>
        <w:t>与</w:t>
      </w:r>
      <w:r>
        <w:t xml:space="preserve"> 99.85 ~ 100%</w:t>
      </w:r>
      <w:r>
        <w:rPr>
          <w:rFonts w:ascii="宋体" w:eastAsia="宋体" w:hAnsi="宋体" w:cs="宋体" w:hint="eastAsia"/>
          <w:lang w:eastAsia="zh-CN"/>
        </w:rPr>
        <w:t>，处于同一水平区间；而本文模型参数量仅</w:t>
      </w:r>
      <w:r>
        <w:t xml:space="preserve"> 2.5 </w:t>
      </w:r>
      <w:r>
        <w:rPr>
          <w:rFonts w:ascii="宋体" w:eastAsia="宋体" w:hAnsi="宋体" w:cs="宋体" w:hint="eastAsia"/>
          <w:lang w:eastAsia="zh-CN"/>
        </w:rPr>
        <w:t>万、模型体积</w:t>
      </w:r>
      <w:r>
        <w:t xml:space="preserve"> 104 KB</w:t>
      </w:r>
      <w:r>
        <w:rPr>
          <w:rFonts w:ascii="宋体" w:eastAsia="宋体" w:hAnsi="宋体" w:cs="宋体" w:hint="eastAsia"/>
          <w:lang w:eastAsia="zh-CN"/>
        </w:rPr>
        <w:t>，较主流深度网络小两到三个数量级，且采用时间有序划分与时间序列交叉验证进行评估。</w:t>
      </w:r>
    </w:p>
    <w:p>
      <w:pPr>
        <w:pStyle w:val="Heading3"/>
      </w:pPr>
      <w:r>
        <w:rPr>
          <w:rFonts w:ascii="宋体" w:hAnsi="宋体" w:eastAsia="宋体" w:cs="宋体" w:hint="eastAsia"/>
          <w:b/>
          <w:sz w:val="24"/>
          <w:lang w:eastAsia="zh-CN"/>
        </w:rPr>
        <w:t>（三）引用时必须同时注明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第一，上述对照对象的数字为文献原文报告值，其划分方式、训练样本量与预处理流程与本文并不相同，不构成严格同协议对比。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第二，加噪设置（</w:t>
      </w:r>
      <w:r>
        <w:t>CA-DRSN</w:t>
      </w:r>
      <w:r>
        <w:rPr>
          <w:rFonts w:ascii="宋体" w:eastAsia="宋体" w:hAnsi="宋体" w:cs="宋体" w:hint="eastAsia"/>
          <w:lang w:eastAsia="zh-CN"/>
        </w:rPr>
        <w:t>）与少样本设置（</w:t>
      </w:r>
      <w:r>
        <w:t>SAGAN</w:t>
      </w:r>
      <w:r>
        <w:rPr>
          <w:rFonts w:ascii="宋体" w:eastAsia="宋体" w:hAnsi="宋体" w:cs="宋体" w:hint="eastAsia"/>
          <w:lang w:eastAsia="zh-CN"/>
        </w:rPr>
        <w:t>）的结果不可与本文干净信号结果直接比较。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第三，类别数不同的结果（</w:t>
      </w:r>
      <w:r>
        <w:t>MGE-ResNet</w:t>
      </w:r>
      <w:r>
        <w:rPr>
          <w:rFonts w:ascii="宋体" w:eastAsia="宋体" w:hAnsi="宋体" w:cs="宋体" w:hint="eastAsia"/>
          <w:lang w:eastAsia="zh-CN"/>
        </w:rPr>
        <w:t>、</w:t>
      </w:r>
      <w:r>
        <w:t xml:space="preserve">SCBM-Net </w:t>
      </w:r>
      <w:r>
        <w:rPr>
          <w:rFonts w:ascii="宋体" w:eastAsia="宋体" w:hAnsi="宋体" w:cs="宋体" w:hint="eastAsia"/>
          <w:lang w:eastAsia="zh-CN"/>
        </w:rPr>
        <w:t>为</w:t>
      </w:r>
      <w:r>
        <w:t xml:space="preserve"> 10 </w:t>
      </w:r>
      <w:r>
        <w:rPr>
          <w:rFonts w:ascii="宋体" w:eastAsia="宋体" w:hAnsi="宋体" w:cs="宋体" w:hint="eastAsia"/>
          <w:lang w:eastAsia="zh-CN"/>
        </w:rPr>
        <w:t>类；</w:t>
      </w:r>
      <w:r>
        <w:t xml:space="preserve">Kibrete </w:t>
      </w:r>
      <w:r>
        <w:rPr>
          <w:rFonts w:ascii="宋体" w:eastAsia="宋体" w:hAnsi="宋体" w:cs="宋体" w:hint="eastAsia"/>
          <w:lang w:eastAsia="zh-CN"/>
        </w:rPr>
        <w:t>为变工况</w:t>
      </w:r>
      <w:r>
        <w:t xml:space="preserve"> 10 </w:t>
      </w:r>
      <w:r>
        <w:rPr>
          <w:rFonts w:ascii="宋体" w:eastAsia="宋体" w:hAnsi="宋体" w:cs="宋体" w:hint="eastAsia"/>
          <w:lang w:eastAsia="zh-CN"/>
        </w:rPr>
        <w:t>类）难度天然更高，仅作量级参照。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第四，措辞留余地：写</w:t>
      </w:r>
      <w:r>
        <w:t>"</w:t>
      </w:r>
      <w:r>
        <w:rPr>
          <w:rFonts w:ascii="宋体" w:eastAsia="宋体" w:hAnsi="宋体" w:cs="宋体" w:hint="eastAsia"/>
          <w:lang w:eastAsia="zh-CN"/>
        </w:rPr>
        <w:t>相较文献中常用基线方法，本文在同等任务上准确率相当或更高</w:t>
      </w:r>
      <w:r>
        <w:t>"</w:t>
      </w:r>
      <w:r>
        <w:rPr>
          <w:rFonts w:ascii="宋体" w:eastAsia="宋体" w:hAnsi="宋体" w:cs="宋体" w:hint="eastAsia"/>
          <w:lang w:eastAsia="zh-CN"/>
        </w:rPr>
        <w:t>，不写</w:t>
      </w:r>
      <w:r>
        <w:t>"</w:t>
      </w:r>
      <w:r>
        <w:rPr>
          <w:rFonts w:ascii="宋体" w:eastAsia="宋体" w:hAnsi="宋体" w:cs="宋体" w:hint="eastAsia"/>
          <w:lang w:eastAsia="zh-CN"/>
        </w:rPr>
        <w:t>某某方法很差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第五，需要严格同口径数字时，以第三节表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的自复现结果为准。</w:t>
      </w:r>
    </w:p>
    <w:p>
      <w:bookmarkStart w:id="13" w:name="_Toc_section_ref"/>
      <w:pPr>
        <w:pStyle w:val="Heading2"/>
      </w:pPr>
      <w:r>
        <w:rPr>
          <w:rFonts w:ascii="宋体" w:hAnsi="宋体" w:eastAsia="宋体" w:cs="宋体" w:hint="eastAsia"/>
          <w:b/>
          <w:sz w:val="28"/>
          <w:lang w:eastAsia="zh-CN"/>
        </w:rPr>
        <w:t>参考文献与出处登记</w:t>
      </w:r>
      <w:bookmarkEnd w:id="13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表</w:t>
      </w:r>
      <w:r>
        <w:t xml:space="preserve"> A</w:t>
      </w:r>
      <w:r>
        <w:rPr>
          <w:rFonts w:ascii="宋体" w:eastAsia="宋体" w:hAnsi="宋体" w:cs="宋体" w:hint="eastAsia"/>
          <w:lang w:eastAsia="zh-CN"/>
        </w:rPr>
        <w:t>（自复现所用文献）</w:t>
      </w:r>
    </w:p>
    <w:p>
      <w:pPr>
        <w:pStyle w:val="ListNumber"/>
        <w:numPr>
          <w:ilvl w:val="0"/>
          <w:numId w:val="10"/>
        </w:numPr>
        <w:spacing w:after="90"/>
        <w:ind w:firstLine="0"/>
      </w:pPr>
      <w:r>
        <w:rPr>
          <w:sz w:val="18"/>
        </w:rPr>
        <w:t>Keming Guan, Bing Du, Zhe Wu, Jinfeng Li, Yan Zhang. Fault Diagnosis of Gearbox Based on Improved Transformer[C]. AAIA 2023 (ACM). DOI: 10.1145/3603273.3636498</w:t>
      </w:r>
    </w:p>
    <w:p>
      <w:pPr>
        <w:pStyle w:val="ListNumber"/>
        <w:numPr>
          <w:ilvl w:val="0"/>
          <w:numId w:val="10"/>
        </w:numPr>
        <w:spacing w:after="90"/>
        <w:ind w:firstLine="0"/>
      </w:pPr>
      <w:r>
        <w:rPr>
          <w:sz w:val="18"/>
        </w:rPr>
        <w:t>Lu Zhang, et al. Deep Learning-Based Fault Diagnosis of Electromechanical Systems in Synchronous Motors[J]. IIETA (Traitement du Signal). DOI: 10.18280/ts.430328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表</w:t>
      </w:r>
      <w:r>
        <w:t xml:space="preserve"> B</w:t>
      </w:r>
      <w:r>
        <w:rPr>
          <w:rFonts w:ascii="宋体" w:eastAsia="宋体" w:hAnsi="宋体" w:cs="宋体" w:hint="eastAsia"/>
          <w:lang w:eastAsia="zh-CN"/>
        </w:rPr>
        <w:t>（同源文献报告值）</w:t>
      </w:r>
    </w:p>
    <w:p>
      <w:pPr>
        <w:pStyle w:val="ListNumber"/>
        <w:numPr>
          <w:ilvl w:val="0"/>
          <w:numId w:val="11"/>
        </w:numPr>
        <w:spacing w:after="90"/>
        <w:ind w:firstLine="0"/>
      </w:pPr>
      <w:r>
        <w:rPr>
          <w:sz w:val="18"/>
        </w:rPr>
        <w:t>Lijun Zhang, Yuejian Zhang, Guangfeng Li. Fault-Diagnosis Method for Rotating Machinery Based on SVMD Entropy and Machine Learning[J]. Algorithms, 2023, 16(6): 304. DOI: 10.3390/a16060304</w:t>
      </w:r>
    </w:p>
    <w:p>
      <w:pPr>
        <w:pStyle w:val="ListNumber"/>
        <w:numPr>
          <w:ilvl w:val="0"/>
          <w:numId w:val="11"/>
        </w:numPr>
        <w:spacing w:after="90"/>
        <w:ind w:firstLine="0"/>
      </w:pPr>
      <w:r>
        <w:rPr>
          <w:sz w:val="18"/>
        </w:rPr>
        <w:t>Kefan Cheng, Longsheng Cheng, Ting Mao, Mengdie Wu. Fault Diagnosis of Gearbox Based on CNN and LSTM with Attention Mechanism[C]. Highlights in Science, Engineering and Technology, 2024, 93: 285-294. DOI: 10.54097/0s38yb63</w:t>
      </w:r>
    </w:p>
    <w:p>
      <w:pPr>
        <w:pStyle w:val="ListNumber"/>
        <w:numPr>
          <w:ilvl w:val="0"/>
          <w:numId w:val="11"/>
        </w:numPr>
        <w:spacing w:after="90"/>
        <w:ind w:firstLine="0"/>
      </w:pPr>
      <w:r>
        <w:rPr>
          <w:rFonts w:ascii="宋体" w:eastAsia="宋体" w:hAnsi="宋体" w:cs="宋体" w:hint="eastAsia"/>
          <w:sz w:val="18"/>
          <w:lang w:eastAsia="zh-CN"/>
        </w:rPr>
        <w:t>基于改进注意力机制的</w:t>
      </w:r>
      <w:r>
        <w:rPr>
          <w:sz w:val="18"/>
        </w:rPr>
        <w:t xml:space="preserve"> CNN </w:t>
      </w:r>
      <w:r>
        <w:rPr>
          <w:rFonts w:ascii="宋体" w:eastAsia="宋体" w:hAnsi="宋体" w:cs="宋体" w:hint="eastAsia"/>
          <w:sz w:val="18"/>
          <w:lang w:eastAsia="zh-CN"/>
        </w:rPr>
        <w:t>的齿轮箱故障诊断（</w:t>
      </w:r>
      <w:r>
        <w:rPr>
          <w:sz w:val="18"/>
        </w:rPr>
        <w:t>IAMCNN</w:t>
      </w:r>
      <w:r>
        <w:rPr>
          <w:rFonts w:ascii="宋体" w:eastAsia="宋体" w:hAnsi="宋体" w:cs="宋体" w:hint="eastAsia"/>
          <w:sz w:val="18"/>
          <w:lang w:eastAsia="zh-CN"/>
        </w:rPr>
        <w:t>）</w:t>
      </w:r>
      <w:r>
        <w:rPr>
          <w:sz w:val="18"/>
        </w:rPr>
        <w:t xml:space="preserve">[J]. </w:t>
      </w:r>
      <w:r>
        <w:rPr>
          <w:rFonts w:ascii="宋体" w:eastAsia="宋体" w:hAnsi="宋体" w:cs="宋体" w:hint="eastAsia"/>
          <w:sz w:val="18"/>
          <w:lang w:eastAsia="zh-CN"/>
        </w:rPr>
        <w:t>华东理工大学学报（自然科学版）</w:t>
      </w:r>
      <w:r>
        <w:rPr>
          <w:sz w:val="18"/>
        </w:rPr>
        <w:t>, 2024. DOI: 10.14135/j.cnki.1006-3080.20231207002</w:t>
      </w:r>
    </w:p>
    <w:p>
      <w:pPr>
        <w:pStyle w:val="ListNumber"/>
        <w:numPr>
          <w:ilvl w:val="0"/>
          <w:numId w:val="11"/>
        </w:numPr>
        <w:spacing w:after="90"/>
        <w:ind w:firstLine="0"/>
      </w:pPr>
      <w:r>
        <w:rPr>
          <w:sz w:val="18"/>
        </w:rPr>
        <w:t>Gearbox Fault Diagnosis Method in Noisy Environments Based on Deep Residual Shrinkage Networks[J]. Sensors, 2024, 24(14): 4633. DOI: 10.3390/s24144633</w:t>
      </w:r>
    </w:p>
    <w:p>
      <w:pPr>
        <w:pStyle w:val="ListNumber"/>
        <w:numPr>
          <w:ilvl w:val="0"/>
          <w:numId w:val="11"/>
        </w:numPr>
        <w:spacing w:after="90"/>
        <w:ind w:firstLine="0"/>
      </w:pPr>
      <w:r>
        <w:rPr>
          <w:sz w:val="18"/>
        </w:rPr>
        <w:t>Research on Equipment Fault Diagnosis Method Based on Multimodal Deep Fusion[C]. ACM CIISAI 2025. DOI: 10.1145/3773365.3773555</w:t>
      </w:r>
    </w:p>
    <w:p>
      <w:pPr>
        <w:pStyle w:val="ListNumber"/>
        <w:numPr>
          <w:ilvl w:val="0"/>
          <w:numId w:val="11"/>
        </w:numPr>
        <w:spacing w:after="90"/>
        <w:ind w:firstLine="0"/>
      </w:pPr>
      <w:r>
        <w:rPr>
          <w:sz w:val="18"/>
        </w:rPr>
        <w:t>F. Kibrete, et al. Fault Diagnosis of Rotating Machines Based on Combination of 1D CNN and LSTM in Variable Working Conditions[J]. Journal of Engineering (Wiley), 2025. DOI: 10.1155/je/1670810</w:t>
      </w:r>
    </w:p>
    <w:p>
      <w:pPr>
        <w:pStyle w:val="ListNumber"/>
        <w:numPr>
          <w:ilvl w:val="0"/>
          <w:numId w:val="11"/>
        </w:numPr>
        <w:spacing w:after="90"/>
        <w:ind w:firstLine="0"/>
      </w:pPr>
      <w:r>
        <w:rPr>
          <w:sz w:val="18"/>
        </w:rPr>
        <w:t>Bearing Fault Diagnosis Based on Multiscale Lightweight Convolutional Neural Network[J]. Processes, 2025, 13(4): 1239.</w:t>
      </w:r>
    </w:p>
    <w:p>
      <w:pPr>
        <w:pStyle w:val="ListNumber"/>
        <w:numPr>
          <w:ilvl w:val="0"/>
          <w:numId w:val="11"/>
        </w:numPr>
        <w:spacing w:after="90"/>
        <w:ind w:firstLine="0"/>
      </w:pPr>
      <w:r>
        <w:rPr>
          <w:sz w:val="18"/>
        </w:rPr>
        <w:t>SCBM-Net: a multimodal feature fusion-based dual-channel method for bearing fault diagnosis[J]. Scientific Reports, 2025, 15: 37904. DOI: 10.1038/s41598-025-21665-4</w:t>
      </w:r>
    </w:p>
    <w:p>
      <w:pPr>
        <w:pStyle w:val="ListNumber"/>
        <w:numPr>
          <w:ilvl w:val="0"/>
          <w:numId w:val="11"/>
        </w:numPr>
        <w:spacing w:after="90"/>
        <w:ind w:firstLine="0"/>
      </w:pPr>
      <w:r>
        <w:rPr>
          <w:sz w:val="18"/>
        </w:rPr>
        <w:t>G. Wang, et al. Bearing fault diagnosis method based on SAGAN and improved ResNet[J]. Scientific Reports, 2025, 15. DOI: 10.1038/s41598-025-16771-2</w:t>
      </w:r>
    </w:p>
    <w:p>
      <w:pPr>
        <w:pStyle w:val="ListNumber"/>
        <w:numPr>
          <w:ilvl w:val="0"/>
          <w:numId w:val="11"/>
        </w:numPr>
        <w:spacing w:after="90"/>
        <w:ind w:firstLine="0"/>
      </w:pPr>
      <w:r>
        <w:rPr>
          <w:sz w:val="18"/>
        </w:rPr>
        <w:t xml:space="preserve">ADAMFFN: Adaptive Domain-Aligned Multi-Modal Feature Fusion Network[J]. Machines, 2025. </w:t>
      </w:r>
      <w:r>
        <w:rPr>
          <w:rFonts w:ascii="宋体" w:eastAsia="宋体" w:hAnsi="宋体" w:cs="宋体" w:hint="eastAsia"/>
          <w:sz w:val="18"/>
          <w:lang w:eastAsia="zh-CN"/>
        </w:rPr>
        <w:t>（跨工况）</w:t>
      </w:r>
    </w:p>
    <w:p>
      <w:pPr>
        <w:pStyle w:val="ListNumber"/>
        <w:numPr>
          <w:ilvl w:val="0"/>
          <w:numId w:val="11"/>
        </w:numPr>
        <w:spacing w:after="90"/>
        <w:ind w:firstLine="0"/>
      </w:pPr>
      <w:r>
        <w:rPr>
          <w:sz w:val="18"/>
        </w:rPr>
        <w:t xml:space="preserve">Wide-deep adversarial transfer learning[J]. Wiley, 2021. </w:t>
      </w:r>
      <w:r>
        <w:rPr>
          <w:rFonts w:ascii="宋体" w:eastAsia="宋体" w:hAnsi="宋体" w:cs="宋体" w:hint="eastAsia"/>
          <w:sz w:val="18"/>
          <w:lang w:eastAsia="zh-CN"/>
        </w:rPr>
        <w:t>（跨工况）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效率部分</w:t>
      </w:r>
    </w:p>
    <w:p>
      <w:pPr>
        <w:pStyle w:val="ListNumber"/>
        <w:numPr>
          <w:ilvl w:val="0"/>
          <w:numId w:val="12"/>
        </w:numPr>
        <w:spacing w:after="90"/>
        <w:ind w:firstLine="0"/>
      </w:pPr>
      <w:r>
        <w:rPr>
          <w:sz w:val="18"/>
        </w:rPr>
        <w:t>Lightweight Gearbox Fault Diagnosis Under High Noise (DSMC-ECA)[J]. Sensors, 2026, 26(4): 1196. DOI: 10.3390/s26041196</w:t>
      </w:r>
    </w:p>
    <w:p>
      <w:pPr>
        <w:pStyle w:val="ListNumber"/>
        <w:numPr>
          <w:ilvl w:val="0"/>
          <w:numId w:val="12"/>
        </w:numPr>
        <w:spacing w:after="90"/>
        <w:ind w:firstLine="0"/>
      </w:pPr>
      <w:r>
        <w:rPr>
          <w:sz w:val="18"/>
        </w:rPr>
        <w:t>ADGCC-Net: A Lightweight Model for Rolling Bearing Fault Diagnosis[J]. Processes, 2025, 13(11): 3600. DOI: 10.3390/pr13113600</w:t>
      </w:r>
    </w:p>
    <w:p>
      <w:pPr>
        <w:pStyle w:val="ListNumber"/>
        <w:numPr>
          <w:ilvl w:val="0"/>
          <w:numId w:val="12"/>
        </w:numPr>
        <w:spacing w:after="90"/>
        <w:ind w:firstLine="0"/>
      </w:pPr>
      <w:r>
        <w:rPr>
          <w:sz w:val="18"/>
        </w:rPr>
        <w:t>STCSE[J]. Journal of Vibration and Control (Sage), 2026.</w:t>
      </w:r>
    </w:p>
    <w:p>
      <w:pPr>
        <w:pStyle w:val="ListNumber"/>
        <w:numPr>
          <w:ilvl w:val="0"/>
          <w:numId w:val="12"/>
        </w:numPr>
        <w:spacing w:after="90"/>
        <w:ind w:firstLine="0"/>
      </w:pPr>
      <w:r>
        <w:rPr>
          <w:sz w:val="18"/>
        </w:rPr>
        <w:t>Lightweight Fault Diagnosis of Port Crane Bearings Based on Structured Pruning[J]. Actuators, 2026, 15(6): 322.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本文档替代此前分散的三份对照说明，并对其中已发现的错误做了更正：撤下</w:t>
      </w:r>
      <w:r>
        <w:t xml:space="preserve"> FE-MCFormer</w:t>
      </w:r>
      <w:r>
        <w:rPr>
          <w:rFonts w:ascii="宋体" w:eastAsia="宋体" w:hAnsi="宋体" w:cs="宋体" w:hint="eastAsia"/>
          <w:lang w:eastAsia="zh-CN"/>
        </w:rPr>
        <w:t>（非</w:t>
      </w:r>
      <w:r>
        <w:t xml:space="preserve"> SEU</w:t>
      </w:r>
      <w:r>
        <w:rPr>
          <w:rFonts w:ascii="宋体" w:eastAsia="宋体" w:hAnsi="宋体" w:cs="宋体" w:hint="eastAsia"/>
          <w:lang w:eastAsia="zh-CN"/>
        </w:rPr>
        <w:t>）、更正</w:t>
      </w:r>
      <w:r>
        <w:t xml:space="preserve"> CA-DRSN </w:t>
      </w:r>
      <w:r>
        <w:rPr>
          <w:rFonts w:ascii="宋体" w:eastAsia="宋体" w:hAnsi="宋体" w:cs="宋体" w:hint="eastAsia"/>
          <w:lang w:eastAsia="zh-CN"/>
        </w:rPr>
        <w:t>出处为</w:t>
      </w:r>
      <w:r>
        <w:t xml:space="preserve"> Sensors 2024, 24(14):4633</w:t>
      </w:r>
      <w:r>
        <w:rPr>
          <w:rFonts w:ascii="宋体" w:eastAsia="宋体" w:hAnsi="宋体" w:cs="宋体" w:hint="eastAsia"/>
          <w:lang w:eastAsia="zh-CN"/>
        </w:rPr>
        <w:t>、</w:t>
      </w:r>
      <w:r>
        <w:t xml:space="preserve">IAMCNN </w:t>
      </w:r>
      <w:r>
        <w:rPr>
          <w:rFonts w:ascii="宋体" w:eastAsia="宋体" w:hAnsi="宋体" w:cs="宋体" w:hint="eastAsia"/>
          <w:lang w:eastAsia="zh-CN"/>
        </w:rPr>
        <w:t>改用</w:t>
      </w:r>
      <w:r>
        <w:t xml:space="preserve"> SEU </w:t>
      </w:r>
      <w:r>
        <w:rPr>
          <w:rFonts w:ascii="宋体" w:eastAsia="宋体" w:hAnsi="宋体" w:cs="宋体" w:hint="eastAsia"/>
          <w:lang w:eastAsia="zh-CN"/>
        </w:rPr>
        <w:t>表</w:t>
      </w:r>
      <w:r>
        <w:t xml:space="preserve"> 1 </w:t>
      </w:r>
      <w:r>
        <w:rPr>
          <w:rFonts w:ascii="宋体" w:eastAsia="宋体" w:hAnsi="宋体" w:cs="宋体" w:hint="eastAsia"/>
          <w:lang w:eastAsia="zh-CN"/>
        </w:rPr>
        <w:t>数值、</w:t>
      </w:r>
      <w:r>
        <w:t xml:space="preserve">Kibrete </w:t>
      </w:r>
      <w:r>
        <w:rPr>
          <w:rFonts w:ascii="宋体" w:eastAsia="宋体" w:hAnsi="宋体" w:cs="宋体" w:hint="eastAsia"/>
          <w:lang w:eastAsia="zh-CN"/>
        </w:rPr>
        <w:t>降级为</w:t>
      </w:r>
      <w:r>
        <w:t>"</w:t>
      </w:r>
      <w:r>
        <w:rPr>
          <w:rFonts w:ascii="宋体" w:eastAsia="宋体" w:hAnsi="宋体" w:cs="宋体" w:hint="eastAsia"/>
          <w:lang w:eastAsia="zh-CN"/>
        </w:rPr>
        <w:t>任务不同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  <w:r/>
      <w:r/>
      <w:r/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6" w:lineRule="auto" w:after="120"/>
      <w:ind w:firstLine="480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ind w:firstLine="0"/>
      <w:outlineLvl w:val="0"/>
    </w:pPr>
    <w:rPr>
      <w:rFonts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ind w:firstLine="0"/>
      <w:outlineLvl w:val="1"/>
    </w:pPr>
    <w:rPr>
      <w:rFonts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