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36"/>
        <w:jc w:val="center"/>
      </w:pPr>
      <w:r>
        <w:rPr>
          <w:rFonts w:ascii="微软雅黑" w:hAnsi="微软雅黑" w:eastAsia="微软雅黑" w:cs="微软雅黑" w:hint="eastAsia"/>
          <w:b w:val="0"/>
          <w:color w:val="1565C0"/>
          <w:sz w:val="28"/>
          <w:lang w:eastAsia="zh-CN"/>
        </w:rPr>
        <w:t>参考文献对比</w:t>
      </w:r>
    </w:p>
    <w:p>
      <w:pPr>
        <w:pStyle w:val="Heading1"/>
        <w:spacing w:after="352"/>
        <w:jc w:val="center"/>
      </w:pPr>
      <w:r>
        <w:rPr>
          <w:rFonts w:ascii="微软雅黑" w:hAnsi="微软雅黑" w:eastAsia="微软雅黑" w:cs="微软雅黑" w:hint="eastAsia"/>
          <w:b w:val="0"/>
          <w:color w:val="1A237E"/>
          <w:sz w:val="44"/>
          <w:lang w:eastAsia="zh-CN"/>
        </w:rPr>
        <w:t>文献对比分析</w:t>
      </w:r>
    </w:p>
    <w:p>
      <w:pPr>
        <w:spacing w:after="600"/>
        <w:jc w:val="center"/>
      </w:pPr>
      <w:r>
        <w:rPr>
          <w:rFonts w:ascii="微软雅黑" w:eastAsia="微软雅黑" w:hAnsi="微软雅黑" w:cs="微软雅黑" w:hint="eastAsia"/>
          <w:color w:val="616161"/>
          <w:sz w:val="24"/>
          <w:lang w:eastAsia="zh-CN"/>
        </w:rPr>
        <w:t>多时间步状态转移网络与</w:t>
      </w:r>
      <w:r>
        <w:rPr>
          <w:color w:val="616161"/>
          <w:sz w:val="24"/>
        </w:rPr>
        <w:t xml:space="preserve"> CNN / GCN </w:t>
      </w:r>
      <w:r>
        <w:rPr>
          <w:rFonts w:ascii="微软雅黑" w:eastAsia="微软雅黑" w:hAnsi="微软雅黑" w:cs="微软雅黑" w:hint="eastAsia"/>
          <w:color w:val="616161"/>
          <w:sz w:val="24"/>
          <w:lang w:eastAsia="zh-CN"/>
        </w:rPr>
        <w:t>故障分类</w:t>
      </w:r>
      <w:r>
        <w:rPr>
          <w:color w:val="616161"/>
          <w:sz w:val="24"/>
        </w:rPr>
        <w:t xml:space="preserve"> —— </w:t>
      </w:r>
      <w:r>
        <w:rPr>
          <w:rFonts w:ascii="微软雅黑" w:eastAsia="微软雅黑" w:hAnsi="微软雅黑" w:cs="微软雅黑" w:hint="eastAsia"/>
          <w:color w:val="616161"/>
          <w:sz w:val="24"/>
          <w:lang w:eastAsia="zh-CN"/>
        </w:rPr>
        <w:t>与现有公开文献对比</w:t>
      </w:r>
    </w:p>
    <w:p>
      <w:pPr>
        <w:jc w:val="center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东南大学</w:t>
      </w:r>
      <w:r>
        <w:rPr>
          <w:color w:val="616161"/>
          <w:sz w:val="18"/>
        </w:rPr>
        <w:t xml:space="preserve"> DDS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齿轮箱</w:t>
      </w:r>
      <w:r>
        <w:rPr>
          <w:color w:val="616161"/>
          <w:sz w:val="18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轴承与齿轮五分类</w:t>
      </w:r>
      <w:r>
        <w:rPr>
          <w:color w:val="61616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｜</w:t>
      </w:r>
      <w:r>
        <w:rPr>
          <w:color w:val="616161"/>
          <w:sz w:val="18"/>
        </w:rPr>
        <w:t xml:space="preserve"> 2026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年</w:t>
      </w:r>
      <w:r>
        <w:rPr>
          <w:color w:val="616161"/>
          <w:sz w:val="18"/>
        </w:rPr>
        <w:t xml:space="preserve"> 9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月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pStyle w:val="Heading2"/>
        <w:spacing w:before="96" w:after="192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执行摘要</w:t>
      </w:r>
    </w:p>
    <w:p>
      <w:pPr>
        <w:spacing w:after="120"/>
      </w:pPr>
      <w:r>
        <w:rPr>
          <w:rFonts w:ascii="微软雅黑" w:eastAsia="微软雅黑" w:hAnsi="微软雅黑" w:cs="微软雅黑" w:hint="eastAsia"/>
          <w:lang w:eastAsia="zh-CN"/>
        </w:rPr>
        <w:t>本文方法在</w:t>
      </w:r>
      <w:r>
        <w:t xml:space="preserve"> SEU DDS </w:t>
      </w:r>
      <w:r>
        <w:rPr>
          <w:rFonts w:ascii="微软雅黑" w:eastAsia="微软雅黑" w:hAnsi="微软雅黑" w:cs="微软雅黑" w:hint="eastAsia"/>
          <w:lang w:eastAsia="zh-CN"/>
        </w:rPr>
        <w:t>齿轮箱数据集上取得</w:t>
      </w:r>
      <w:r>
        <w:t xml:space="preserve"> 97.69% ~ 100% </w:t>
      </w:r>
      <w:r>
        <w:rPr>
          <w:rFonts w:ascii="微软雅黑" w:eastAsia="微软雅黑" w:hAnsi="微软雅黑" w:cs="微软雅黑" w:hint="eastAsia"/>
          <w:lang w:eastAsia="zh-CN"/>
        </w:rPr>
        <w:t>的准确率，与使用同一数据集的公开文献（约</w:t>
      </w:r>
      <w:r>
        <w:t xml:space="preserve"> 99.4%</w:t>
      </w:r>
      <w:r>
        <w:rPr>
          <w:rFonts w:ascii="微软雅黑" w:eastAsia="微软雅黑" w:hAnsi="微软雅黑" w:cs="微软雅黑" w:hint="eastAsia"/>
          <w:lang w:eastAsia="zh-CN"/>
        </w:rPr>
        <w:t>）处于同一量级，落在当前方法的主流水平区间内，并非虚高。</w:t>
      </w:r>
    </w:p>
    <w:p>
      <w:pPr>
        <w:spacing w:after="120"/>
      </w:pPr>
      <w:r>
        <w:rPr>
          <w:rFonts w:ascii="微软雅黑" w:eastAsia="微软雅黑" w:hAnsi="微软雅黑" w:cs="微软雅黑" w:hint="eastAsia"/>
          <w:lang w:eastAsia="zh-CN"/>
        </w:rPr>
        <w:t>本文仅以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个符号状态的多时间步转移矩阵作为输入，未使用注意力、多尺度卷积等复杂结构，即达到可比性能，说明状态转移网络表示能够有效刻画故障特征。跨工况迁移是显著更难的任务（现有文献仅</w:t>
      </w:r>
      <w:r>
        <w:t xml:space="preserve"> 52% ~ 67%</w:t>
      </w:r>
      <w:r>
        <w:rPr>
          <w:rFonts w:ascii="微软雅黑" w:eastAsia="微软雅黑" w:hAnsi="微软雅黑" w:cs="微软雅黑" w:hint="eastAsia"/>
          <w:lang w:eastAsia="zh-CN"/>
        </w:rPr>
        <w:t>），本文未覆盖该场景并已如实声明边界。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一、对比文献概览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为评估本文方法的相对水平，选取三篇公开文献，涵盖同数据集方法、其他齿轮箱数据集方法以及跨工况迁移方法三类场景。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#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文献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出处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数据集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方法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结果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Fault Diagnosis of Gearbox Based on Improved Transformer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ACM, 2023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C62828"/>
                <w:sz w:val="18"/>
              </w:rPr>
              <w:t>SEU DDS</w:t>
            </w:r>
            <w:r>
              <w:rPr>
                <w:color w:val="C62828"/>
                <w:sz w:val="18"/>
              </w:rPr>
              <w:t xml:space="preserve"> </w:t>
            </w:r>
            <w:r>
              <w:rPr>
                <w:color w:val="C62828"/>
                <w:sz w:val="18"/>
              </w:rPr>
              <w:t>（与本文相同）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改进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Transformer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99.4%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2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Gearbox Fault Diagnosis Based on MSCNN-LSTM-CBAM-SE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Sensors 2024, 24, 4682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HUST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齿轮箱、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WT-Planetary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齿轮箱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MSCNN + LSTM + CBAM + SE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97.22% ~ 99.85%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Source-free domain adaptation framework for fault diagnosis of rotation machinery under data privacy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Reliability Engineering &amp; System Safety, 2023, 238: 109468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实验台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真实风电齿轮箱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无源域自适应（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SFDA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跨工况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52.55% ~ 67.20%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二、与本文结果对比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方法</w:t>
            </w:r>
          </w:p>
        </w:tc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任务设定</w:t>
            </w:r>
          </w:p>
        </w:tc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准确率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C62828"/>
                <w:sz w:val="18"/>
              </w:rPr>
              <w:t>本文方法（状态转移网络</w:t>
            </w:r>
            <w:r>
              <w:rPr>
                <w:color w:val="C62828"/>
                <w:sz w:val="18"/>
              </w:rPr>
              <w:t xml:space="preserve"> </w:t>
            </w:r>
            <w:r>
              <w:rPr>
                <w:color w:val="C62828"/>
                <w:sz w:val="18"/>
              </w:rPr>
              <w:t xml:space="preserve"> + CNN/GCN</w:t>
            </w:r>
            <w:r>
              <w:rPr>
                <w:color w:val="C62828"/>
                <w:sz w:val="18"/>
              </w:rPr>
              <w:t xml:space="preserve"> </w:t>
            </w:r>
            <w:r>
              <w:rPr>
                <w:color w:val="C62828"/>
                <w:sz w:val="18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SEU DDS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五分类，同工况内时间划分</w:t>
            </w:r>
          </w:p>
        </w:tc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97.69% ~ 100%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（测试集）；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CV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96.92%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文献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（改进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Transformer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同一个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SEU DDS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五分类</w:t>
            </w:r>
          </w:p>
        </w:tc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99.4%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文献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MSCNN-LSTM-CBAM-SE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其他齿轮箱数据集</w:t>
            </w:r>
          </w:p>
        </w:tc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97.22% ~ 99.85%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文献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SFDA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跨工况迁移）</w:t>
            </w:r>
          </w:p>
        </w:tc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跨工况（源域训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目标域测）</w:t>
            </w:r>
          </w:p>
        </w:tc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52.55% ~ 67.20%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三、对比结论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综合三篇文献的结果，可以从水平、表示效率和方法边界三个方面得出结论。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A237E"/>
          <w:sz w:val="23"/>
          <w:lang w:eastAsia="zh-CN"/>
        </w:rPr>
        <w:t>1. 本文结果处于文献正常水平，不虚高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与本文使用同一</w:t>
      </w:r>
      <w:r>
        <w:t xml:space="preserve"> SEU DDS </w:t>
      </w:r>
      <w:r>
        <w:rPr>
          <w:rFonts w:ascii="微软雅黑" w:eastAsia="微软雅黑" w:hAnsi="微软雅黑" w:cs="微软雅黑" w:hint="eastAsia"/>
          <w:lang w:eastAsia="zh-CN"/>
        </w:rPr>
        <w:t>数据集的文献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报告约</w:t>
      </w:r>
      <w:r>
        <w:t xml:space="preserve"> </w:t>
      </w:r>
      <w:r>
        <w:rPr>
          <w:b w:val="0"/>
          <w:color w:val="C62828"/>
        </w:rPr>
        <w:t>99.4%</w:t>
      </w:r>
      <w:r>
        <w:rPr>
          <w:rFonts w:ascii="微软雅黑" w:eastAsia="微软雅黑" w:hAnsi="微软雅黑" w:cs="微软雅黑" w:hint="eastAsia"/>
          <w:lang w:eastAsia="zh-CN"/>
        </w:rPr>
        <w:t xml:space="preserve">，本文各组合为 </w:t>
      </w:r>
      <w:r>
        <w:rPr>
          <w:b w:val="0"/>
          <w:color w:val="C62828"/>
        </w:rPr>
        <w:t>97.69% ~ 100%</w:t>
      </w:r>
      <w:r>
        <w:rPr>
          <w:rFonts w:ascii="微软雅黑" w:eastAsia="微软雅黑" w:hAnsi="微软雅黑" w:cs="微软雅黑" w:hint="eastAsia"/>
          <w:lang w:eastAsia="zh-CN"/>
        </w:rPr>
        <w:t>，与之同量级；文献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在其他齿轮箱数据集上报告</w:t>
      </w:r>
      <w:r>
        <w:t xml:space="preserve"> 97.22% ~ 99.85%</w:t>
      </w:r>
      <w:r>
        <w:rPr>
          <w:rFonts w:ascii="微软雅黑" w:eastAsia="微软雅黑" w:hAnsi="微软雅黑" w:cs="微软雅黑" w:hint="eastAsia"/>
          <w:lang w:eastAsia="zh-CN"/>
        </w:rPr>
        <w:t>，本文结果同样落在该区间内。说明本文所提表示方法（幅值符号化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多时间步状态转移矩阵）与当前主流深度方法具有可比性能。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A237E"/>
          <w:sz w:val="23"/>
          <w:lang w:eastAsia="zh-CN"/>
        </w:rPr>
        <w:t>2. 本文方法在表示上更轻量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文献</w:t>
      </w:r>
      <w:r>
        <w:t xml:space="preserve"> 1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2 </w:t>
      </w:r>
      <w:r>
        <w:rPr>
          <w:rFonts w:ascii="微软雅黑" w:eastAsia="微软雅黑" w:hAnsi="微软雅黑" w:cs="微软雅黑" w:hint="eastAsia"/>
          <w:lang w:eastAsia="zh-CN"/>
        </w:rPr>
        <w:t>使用</w:t>
      </w:r>
      <w:r>
        <w:t xml:space="preserve"> Transformer</w:t>
      </w:r>
      <w:r>
        <w:rPr>
          <w:rFonts w:ascii="微软雅黑" w:eastAsia="微软雅黑" w:hAnsi="微软雅黑" w:cs="微软雅黑" w:hint="eastAsia"/>
          <w:lang w:eastAsia="zh-CN"/>
        </w:rPr>
        <w:t>、多尺度卷积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注意力等复杂结构，本文仅以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状态的转移矩阵作为输入，即达到同等准确率，表明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状态转移网络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这一表示能有效压缩振动信号中的故障信息。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A237E"/>
          <w:sz w:val="23"/>
          <w:lang w:eastAsia="zh-CN"/>
        </w:rPr>
        <w:t>3. 跨工况识别显著更难，本文未覆盖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文献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的跨工况迁移任务中，包括</w:t>
      </w:r>
      <w:r>
        <w:t xml:space="preserve"> CNN </w:t>
      </w:r>
      <w:r>
        <w:rPr>
          <w:rFonts w:ascii="微软雅黑" w:eastAsia="微软雅黑" w:hAnsi="微软雅黑" w:cs="微软雅黑" w:hint="eastAsia"/>
          <w:lang w:eastAsia="zh-CN"/>
        </w:rPr>
        <w:t>基线在内的所有方法准确率仅</w:t>
      </w:r>
      <w:r>
        <w:t xml:space="preserve"> 52% ~ 67%</w:t>
      </w:r>
      <w:r>
        <w:rPr>
          <w:rFonts w:ascii="微软雅黑" w:eastAsia="微软雅黑" w:hAnsi="微软雅黑" w:cs="微软雅黑" w:hint="eastAsia"/>
          <w:lang w:eastAsia="zh-CN"/>
        </w:rPr>
        <w:t>，远低于</w:t>
      </w:r>
      <w:r>
        <w:t xml:space="preserve"> 95%</w:t>
      </w:r>
      <w:r>
        <w:rPr>
          <w:rFonts w:ascii="微软雅黑" w:eastAsia="微软雅黑" w:hAnsi="微软雅黑" w:cs="微软雅黑" w:hint="eastAsia"/>
          <w:lang w:eastAsia="zh-CN"/>
        </w:rPr>
        <w:t>。这与本文分析部分声明的边界一致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本文各工况独立建模，不具备跨工况泛化能力；该限制与领域现状相符，也是后续工作的方向。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四、与现有文献对比（可写入报告）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为评估本文方法的相对水平，选取三篇公开文献进行对比。在使用相同</w:t>
      </w:r>
      <w:r>
        <w:t xml:space="preserve"> SEU DDS </w:t>
      </w:r>
      <w:r>
        <w:rPr>
          <w:rFonts w:ascii="微软雅黑" w:eastAsia="微软雅黑" w:hAnsi="微软雅黑" w:cs="微软雅黑" w:hint="eastAsia"/>
          <w:lang w:eastAsia="zh-CN"/>
        </w:rPr>
        <w:t>数据集的条件下，基于改进</w:t>
      </w:r>
      <w:r>
        <w:t xml:space="preserve"> Transformer </w:t>
      </w:r>
      <w:r>
        <w:rPr>
          <w:rFonts w:ascii="微软雅黑" w:eastAsia="微软雅黑" w:hAnsi="微软雅黑" w:cs="微软雅黑" w:hint="eastAsia"/>
          <w:lang w:eastAsia="zh-CN"/>
        </w:rPr>
        <w:t>的方法报告准确率约</w:t>
      </w:r>
      <w:r>
        <w:t xml:space="preserve"> 99.4%</w:t>
      </w:r>
      <w:r>
        <w:rPr>
          <w:rFonts w:ascii="微软雅黑" w:eastAsia="微软雅黑" w:hAnsi="微软雅黑" w:cs="微软雅黑" w:hint="eastAsia"/>
          <w:lang w:eastAsia="zh-CN"/>
        </w:rPr>
        <w:t>（文献</w:t>
      </w:r>
      <w:r>
        <w:t xml:space="preserve"> [1]</w:t>
      </w:r>
      <w:r>
        <w:rPr>
          <w:rFonts w:ascii="微软雅黑" w:eastAsia="微软雅黑" w:hAnsi="微软雅黑" w:cs="微软雅黑" w:hint="eastAsia"/>
          <w:lang w:eastAsia="zh-CN"/>
        </w:rPr>
        <w:t>），本文各组合为</w:t>
      </w:r>
      <w:r>
        <w:t xml:space="preserve"> 97.69% ~ 100%</w:t>
      </w:r>
      <w:r>
        <w:rPr>
          <w:rFonts w:ascii="微软雅黑" w:eastAsia="微软雅黑" w:hAnsi="微软雅黑" w:cs="微软雅黑" w:hint="eastAsia"/>
          <w:lang w:eastAsia="zh-CN"/>
        </w:rPr>
        <w:t>，与之同量级；在</w:t>
      </w:r>
      <w:r>
        <w:t xml:space="preserve"> HUST </w:t>
      </w:r>
      <w:r>
        <w:rPr>
          <w:rFonts w:ascii="微软雅黑" w:eastAsia="微软雅黑" w:hAnsi="微软雅黑" w:cs="微软雅黑" w:hint="eastAsia"/>
          <w:lang w:eastAsia="zh-CN"/>
        </w:rPr>
        <w:t>等齿轮箱数据集上，</w:t>
      </w:r>
      <w:r>
        <w:t xml:space="preserve">MSCNN-LSTM-CBAM-SE </w:t>
      </w:r>
      <w:r>
        <w:rPr>
          <w:rFonts w:ascii="微软雅黑" w:eastAsia="微软雅黑" w:hAnsi="微软雅黑" w:cs="微软雅黑" w:hint="eastAsia"/>
          <w:lang w:eastAsia="zh-CN"/>
        </w:rPr>
        <w:t>报告</w:t>
      </w:r>
      <w:r>
        <w:t xml:space="preserve"> 97.22% ~ 99.85%</w:t>
      </w:r>
      <w:r>
        <w:rPr>
          <w:rFonts w:ascii="微软雅黑" w:eastAsia="微软雅黑" w:hAnsi="微软雅黑" w:cs="微软雅黑" w:hint="eastAsia"/>
          <w:lang w:eastAsia="zh-CN"/>
        </w:rPr>
        <w:t>（文献</w:t>
      </w:r>
      <w:r>
        <w:t xml:space="preserve"> [2]</w:t>
      </w:r>
      <w:r>
        <w:rPr>
          <w:rFonts w:ascii="微软雅黑" w:eastAsia="微软雅黑" w:hAnsi="微软雅黑" w:cs="微软雅黑" w:hint="eastAsia"/>
          <w:lang w:eastAsia="zh-CN"/>
        </w:rPr>
        <w:t>），本文结果亦落在该区间。值得注意的是，本文仅以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个符号状态的多时间步转移矩阵作为输入，未使用注意力、多尺度卷积等复杂结构，即达到与上述方法相当的性能，说明所提出的状态转移网络表示能够有效刻画故障特征。此外，跨工况迁移任务（文献</w:t>
      </w:r>
      <w:r>
        <w:t xml:space="preserve"> [3]</w:t>
      </w:r>
      <w:r>
        <w:rPr>
          <w:rFonts w:ascii="微软雅黑" w:eastAsia="微软雅黑" w:hAnsi="微软雅黑" w:cs="微软雅黑" w:hint="eastAsia"/>
          <w:lang w:eastAsia="zh-CN"/>
        </w:rPr>
        <w:t>）中各方法准确率普遍低于</w:t>
      </w:r>
      <w:r>
        <w:t xml:space="preserve"> 70%</w:t>
      </w:r>
      <w:r>
        <w:rPr>
          <w:rFonts w:ascii="微软雅黑" w:eastAsia="微软雅黑" w:hAnsi="微软雅黑" w:cs="微软雅黑" w:hint="eastAsia"/>
          <w:lang w:eastAsia="zh-CN"/>
        </w:rPr>
        <w:t>，说明跨工况识别难度远高于同工况分类；本文方法目前针对单工况建模，跨工况泛化尚待研究。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五、引用文献</w:t>
      </w:r>
    </w:p>
    <w:p>
      <w:pPr>
        <w:spacing w:after="90"/>
      </w:pPr>
      <w:r>
        <w:rPr>
          <w:sz w:val="18"/>
        </w:rPr>
        <w:t>[1] Keming Guan, Bing Du, Zhe Wu, Jinfeng Li, Yan Zhang. Fault Diagnosis of Gearbox Based on Improved Transformer. ACM, 2023.</w:t>
      </w:r>
    </w:p>
    <w:p>
      <w:pPr>
        <w:spacing w:after="90"/>
      </w:pPr>
      <w:r>
        <w:rPr>
          <w:sz w:val="18"/>
        </w:rPr>
        <w:t>[2] Chao He, Jarula Yasenjiang, Luhui Lv, Lihua Xu, Zhigang Lan. Gearbox Fault Diagnosis Based on MSCNN-LSTM-CBAM-SE. Sensors, 2024, 24(14): 4682.</w:t>
      </w:r>
    </w:p>
    <w:p>
      <w:pPr>
        <w:spacing w:after="90"/>
      </w:pPr>
      <w:r>
        <w:rPr>
          <w:sz w:val="18"/>
        </w:rPr>
        <w:t>[3] Qikang Li, Baoping Tang, Lei Deng, Peng Zhu. Source-free domain adaptation framework for fault diagnosis of rotation machinery under data privacy. Reliability Engineering &amp; System Safety, 2023, 238: 109468.</w:t>
      </w:r>
      <w:r/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80"/>
    </w:pPr>
    <w:rPr>
      <w:rFonts w:ascii="微软雅黑" w:hAnsi="微软雅黑" w:eastAsia="微软雅黑"/>
      <w:color w:val="2121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="微软雅黑" w:hAnsi="微软雅黑" w:eastAsia="微软雅黑"/>
      <w:b/>
      <w:bCs/>
      <w:color w:val="1A237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8" w:after="120"/>
      <w:outlineLvl w:val="2"/>
    </w:pPr>
    <w:rPr>
      <w:rFonts w:ascii="微软雅黑" w:hAnsi="微软雅黑" w:eastAsia="微软雅黑"/>
      <w:b/>
      <w:bCs/>
      <w:color w:val="1A237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