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参考文献对比</w:t>
      </w:r>
    </w:p>
    <w:p>
      <w:pPr>
        <w:pStyle w:val="Heading1"/>
        <w:spacing w:after="352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文献对比分析</w:t>
      </w:r>
    </w:p>
    <w:p>
      <w:pPr>
        <w:spacing w:after="600"/>
        <w:jc w:val="center"/>
      </w:pP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多时间步状态转移网络与</w:t>
      </w:r>
      <w:r>
        <w:rPr>
          <w:color w:val="616161"/>
          <w:sz w:val="24"/>
        </w:rPr>
        <w:t xml:space="preserve"> CNN / GCN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故障分类</w:t>
      </w:r>
      <w:r>
        <w:rPr>
          <w:color w:val="616161"/>
          <w:sz w:val="24"/>
        </w:rPr>
        <w:t xml:space="preserve"> ——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与现有公开文献对比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东南大学</w:t>
      </w:r>
      <w:r>
        <w:rPr>
          <w:color w:val="616161"/>
          <w:sz w:val="18"/>
        </w:rPr>
        <w:t xml:space="preserve"> DDS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齿轮箱</w:t>
      </w:r>
      <w:r>
        <w:rPr>
          <w:color w:val="616161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轴承与齿轮五分类</w:t>
      </w:r>
      <w:r>
        <w:rPr>
          <w:color w:val="61616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｜</w:t>
      </w:r>
      <w:r>
        <w:rPr>
          <w:color w:val="616161"/>
          <w:sz w:val="18"/>
        </w:rPr>
        <w:t xml:space="preserve">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2"/>
        <w:spacing w:before="96" w:after="19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执行摘要</w:t>
      </w:r>
    </w:p>
    <w:p>
      <w:pPr>
        <w:spacing w:after="120"/>
      </w:pPr>
      <w:r>
        <w:rPr>
          <w:rFonts w:ascii="微软雅黑" w:eastAsia="微软雅黑" w:hAnsi="微软雅黑" w:cs="微软雅黑" w:hint="eastAsia"/>
          <w:lang w:eastAsia="zh-CN"/>
        </w:rPr>
        <w:t>本文方法在</w:t>
      </w:r>
      <w:r>
        <w:t xml:space="preserve"> SEU DDS </w:t>
      </w:r>
      <w:r>
        <w:rPr>
          <w:rFonts w:ascii="微软雅黑" w:eastAsia="微软雅黑" w:hAnsi="微软雅黑" w:cs="微软雅黑" w:hint="eastAsia"/>
          <w:lang w:eastAsia="zh-CN"/>
        </w:rPr>
        <w:t>齿轮箱数据集上取得</w:t>
      </w:r>
      <w:r>
        <w:t xml:space="preserve"> 97.69% ~ 100% </w:t>
      </w:r>
      <w:r>
        <w:rPr>
          <w:rFonts w:ascii="微软雅黑" w:eastAsia="微软雅黑" w:hAnsi="微软雅黑" w:cs="微软雅黑" w:hint="eastAsia"/>
          <w:lang w:eastAsia="zh-CN"/>
        </w:rPr>
        <w:t>的准确率，与使用同一数据集的公开文献（约</w:t>
      </w:r>
      <w:r>
        <w:t xml:space="preserve"> 99.4%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99.2% ~ 99.8%</w:t>
      </w:r>
      <w:r>
        <w:rPr>
          <w:rFonts w:ascii="微软雅黑" w:eastAsia="微软雅黑" w:hAnsi="微软雅黑" w:cs="微软雅黑" w:hint="eastAsia"/>
          <w:lang w:eastAsia="zh-CN"/>
        </w:rPr>
        <w:t>）处于同一量级，落在当前方法的主流水平区间内，并非虚高。</w:t>
      </w:r>
    </w:p>
    <w:p>
      <w:pPr>
        <w:spacing w:after="120"/>
      </w:pPr>
      <w:r>
        <w:rPr>
          <w:rFonts w:ascii="微软雅黑" w:eastAsia="微软雅黑" w:hAnsi="微软雅黑" w:cs="微软雅黑" w:hint="eastAsia"/>
          <w:lang w:eastAsia="zh-CN"/>
        </w:rPr>
        <w:t>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个符号状态的多时间步转移矩阵作为输入，未使用注意力、多尺度卷积等复杂结构，即达到可比性能，说明状态转移网络表示能够有效刻画故障特征。相较采用高阶矩等手工特征与传统机器学习分类器的方法（</w:t>
      </w:r>
      <w:r>
        <w:t>81.67% ~ 92.60%</w:t>
      </w:r>
      <w:r>
        <w:rPr>
          <w:rFonts w:ascii="微软雅黑" w:eastAsia="微软雅黑" w:hAnsi="微软雅黑" w:cs="微软雅黑" w:hint="eastAsia"/>
          <w:lang w:eastAsia="zh-CN"/>
        </w:rPr>
        <w:t>），基于学习表示的方法优势明显；而跨工况迁移是显著更难的任务（现有文献仅</w:t>
      </w:r>
      <w:r>
        <w:t xml:space="preserve"> 52% ~ 67%</w:t>
      </w:r>
      <w:r>
        <w:rPr>
          <w:rFonts w:ascii="微软雅黑" w:eastAsia="微软雅黑" w:hAnsi="微软雅黑" w:cs="微软雅黑" w:hint="eastAsia"/>
          <w:lang w:eastAsia="zh-CN"/>
        </w:rPr>
        <w:t>），本文未覆盖该场景并已如实声明边界。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一、对比文献概览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为评估本文方法的相对水平，选取五篇公开文献，涵盖同数据集深度方法、其他齿轮箱数据集深度方法、传统手工特征方法以及跨工况迁移方法四类场景。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#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文献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出处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数据集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结果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Fault Diagnosis of Gearbox Based on Improved Transformer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ACM, 2023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62828"/>
                <w:sz w:val="18"/>
              </w:rPr>
              <w:t>SEU DDS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>（与本文相同）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99.4%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Gearbox Fault Diagnosis Based on MSCNN-LSTM-CBAM-SE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Sensors 2024, 24, 4682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HUST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WT-Planetary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MSCNN + LSTM + CBAM + SE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97.22% ~ 99.85%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Source-free domain adaptation framework for fault diagnosis of rotation machinery under data privacy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Reliability Engineering &amp; System Safety, 2023, 238: 109468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实验台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真实风电齿轮箱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无源域自适应（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SFDA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跨工况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52.55% ~ 67.20%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Gearbox Fault Diagnosis Based on ICEEMDAN-MPE-AWT and SE-ResNeXt50 Transfer Learning Model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Applied Sciences 2024, 14, 2565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62828"/>
                <w:sz w:val="18"/>
              </w:rPr>
              <w:t xml:space="preserve">SEU 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>公开齿轮数据集（与本文同源）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ICEEMDAN-MPE-AWT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降噪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GAF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SE-ResNeXt50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迁移学习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99.2% ~ 99.8%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Gearbox fault diagnosis: A higher order moments approach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Measurement 210 (2023) 112489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benchmark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IIT Patna / PHM2009 / XJTU-Spurgear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高阶矩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LHOM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时域特征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传统机器学习分类器</w:t>
            </w:r>
          </w:p>
        </w:tc>
        <w:tc>
          <w:tcPr>
            <w:tcW w:type="dxa" w:w="144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81.67% ~ 92.60%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二、与本文结果对比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任务设定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C62828"/>
                <w:sz w:val="18"/>
              </w:rPr>
              <w:t>本文方法（状态转移网络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 xml:space="preserve"> + CNN/GCN</w:t>
            </w:r>
            <w:r>
              <w:rPr>
                <w:color w:val="C62828"/>
                <w:sz w:val="18"/>
              </w:rPr>
              <w:t xml:space="preserve"> </w:t>
            </w:r>
            <w:r>
              <w:rPr>
                <w:color w:val="C62828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DDS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五分类，同工况内时间划分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97.69% ~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（测试集）；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96.92%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同一个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SEU DDS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五分类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99.4%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ICEEMDAN-MPE-AWT + SE-ResNeXt50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公开齿轮数据集五分类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99.2% ~ 99.8%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MSCNN-LSTM-CBAM-SE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其他齿轮箱数据集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97.22%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（高阶矩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LHOM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传统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benchmark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81.67% ~ 92.60%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SFDA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跨工况迁移）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跨工况（源域训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目标域测）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52.55% ~ 67.20%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三、对比结论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综合五篇文献的结果，可以从水平、表示效率、方法范式和方法边界四个方面得出结论。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1. 本文结果处于文献正常水平，不虚高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与本文使用同一</w:t>
      </w:r>
      <w:r>
        <w:t xml:space="preserve"> SEU </w:t>
      </w:r>
      <w:r>
        <w:rPr>
          <w:rFonts w:ascii="微软雅黑" w:eastAsia="微软雅黑" w:hAnsi="微软雅黑" w:cs="微软雅黑" w:hint="eastAsia"/>
          <w:lang w:eastAsia="zh-CN"/>
        </w:rPr>
        <w:t>数据集的文献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（约</w:t>
      </w:r>
      <w:r>
        <w:t xml:space="preserve"> </w:t>
      </w:r>
      <w:r>
        <w:rPr>
          <w:b w:val="0"/>
          <w:color w:val="C62828"/>
        </w:rPr>
        <w:t>99.4%</w:t>
      </w:r>
      <w:r>
        <w:rPr>
          <w:rFonts w:ascii="微软雅黑" w:eastAsia="微软雅黑" w:hAnsi="微软雅黑" w:cs="微软雅黑" w:hint="eastAsia"/>
          <w:lang w:eastAsia="zh-CN"/>
        </w:rPr>
        <w:t>）和文献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b w:val="0"/>
          <w:color w:val="C62828"/>
        </w:rPr>
        <w:t>99.2% ~ 99.8%</w:t>
      </w:r>
      <w:r>
        <w:rPr>
          <w:rFonts w:ascii="微软雅黑" w:eastAsia="微软雅黑" w:hAnsi="微软雅黑" w:cs="微软雅黑" w:hint="eastAsia"/>
          <w:lang w:eastAsia="zh-CN"/>
        </w:rPr>
        <w:t>）报告值均在</w:t>
      </w:r>
      <w:r>
        <w:t xml:space="preserve"> 99% </w:t>
      </w:r>
      <w:r>
        <w:rPr>
          <w:rFonts w:ascii="微软雅黑" w:eastAsia="微软雅黑" w:hAnsi="微软雅黑" w:cs="微软雅黑" w:hint="eastAsia"/>
          <w:lang w:eastAsia="zh-CN"/>
        </w:rPr>
        <w:t>量级，本文各组合为</w:t>
      </w:r>
      <w:r>
        <w:t xml:space="preserve"> </w:t>
      </w:r>
      <w:r>
        <w:rPr>
          <w:b w:val="0"/>
          <w:color w:val="C62828"/>
        </w:rPr>
        <w:t>97.69% ~ 100%</w:t>
      </w:r>
      <w:r>
        <w:rPr>
          <w:rFonts w:ascii="微软雅黑" w:eastAsia="微软雅黑" w:hAnsi="微软雅黑" w:cs="微软雅黑" w:hint="eastAsia"/>
          <w:lang w:eastAsia="zh-CN"/>
        </w:rPr>
        <w:t>，与之同量级；文献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在其他齿轮箱数据集上报告</w:t>
      </w:r>
      <w:r>
        <w:t xml:space="preserve"> 97.22% ~ 99.85%</w:t>
      </w:r>
      <w:r>
        <w:rPr>
          <w:rFonts w:ascii="微软雅黑" w:eastAsia="微软雅黑" w:hAnsi="微软雅黑" w:cs="微软雅黑" w:hint="eastAsia"/>
          <w:lang w:eastAsia="zh-CN"/>
        </w:rPr>
        <w:t>，本文结果同样落在该区间内。说明本文所提表示方法（幅值符号化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多时间步状态转移矩阵）与当前主流深度方法具有可比性能。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2. 本文方法在表示上更轻量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文献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使用</w:t>
      </w:r>
      <w:r>
        <w:t xml:space="preserve"> Transformer</w:t>
      </w:r>
      <w:r>
        <w:rPr>
          <w:rFonts w:ascii="微软雅黑" w:eastAsia="微软雅黑" w:hAnsi="微软雅黑" w:cs="微软雅黑" w:hint="eastAsia"/>
          <w:lang w:eastAsia="zh-CN"/>
        </w:rPr>
        <w:t>、多尺度卷积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注意力、</w:t>
      </w:r>
      <w:r>
        <w:t xml:space="preserve">SE-ResNeXt50 </w:t>
      </w:r>
      <w:r>
        <w:rPr>
          <w:rFonts w:ascii="微软雅黑" w:eastAsia="微软雅黑" w:hAnsi="微软雅黑" w:cs="微软雅黑" w:hint="eastAsia"/>
          <w:lang w:eastAsia="zh-CN"/>
        </w:rPr>
        <w:t>迁移学习等复杂结构（文献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还需先做</w:t>
      </w:r>
      <w:r>
        <w:t xml:space="preserve"> ICEEMDAN-MPE-AWT </w:t>
      </w:r>
      <w:r>
        <w:rPr>
          <w:rFonts w:ascii="微软雅黑" w:eastAsia="微软雅黑" w:hAnsi="微软雅黑" w:cs="微软雅黑" w:hint="eastAsia"/>
          <w:lang w:eastAsia="zh-CN"/>
        </w:rPr>
        <w:t>降噪并转成</w:t>
      </w:r>
      <w:r>
        <w:t xml:space="preserve"> GAF </w:t>
      </w:r>
      <w:r>
        <w:rPr>
          <w:rFonts w:ascii="微软雅黑" w:eastAsia="微软雅黑" w:hAnsi="微软雅黑" w:cs="微软雅黑" w:hint="eastAsia"/>
          <w:lang w:eastAsia="zh-CN"/>
        </w:rPr>
        <w:t>图像），本文仅以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状态的转移矩阵作为输入，即达到同等准确率，表明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状态转移网络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这一表示能有效压缩振动信号中的故障信息。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3. 相较传统手工特征方法有明显优势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文献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采用高阶矩（</w:t>
      </w:r>
      <w:r>
        <w:t>LHOM</w:t>
      </w:r>
      <w:r>
        <w:rPr>
          <w:rFonts w:ascii="微软雅黑" w:eastAsia="微软雅黑" w:hAnsi="微软雅黑" w:cs="微软雅黑" w:hint="eastAsia"/>
          <w:lang w:eastAsia="zh-CN"/>
        </w:rPr>
        <w:t>）等手工时域特征配合经典机器学习分类器，在三个齿轮箱数据集上准确率仅为</w:t>
      </w:r>
      <w:r>
        <w:t xml:space="preserve"> </w:t>
      </w:r>
      <w:r>
        <w:rPr>
          <w:b w:val="0"/>
          <w:color w:val="C62828"/>
        </w:rPr>
        <w:t>81.67% ~ 92.60%</w:t>
      </w:r>
      <w:r>
        <w:rPr>
          <w:rFonts w:ascii="微软雅黑" w:eastAsia="微软雅黑" w:hAnsi="微软雅黑" w:cs="微软雅黑" w:hint="eastAsia"/>
          <w:lang w:eastAsia="zh-CN"/>
        </w:rPr>
        <w:t>，明显低于本文与文献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97% </w:t>
      </w:r>
      <w:r>
        <w:rPr>
          <w:rFonts w:ascii="微软雅黑" w:eastAsia="微软雅黑" w:hAnsi="微软雅黑" w:cs="微软雅黑" w:hint="eastAsia"/>
          <w:lang w:eastAsia="zh-CN"/>
        </w:rPr>
        <w:t>以上水平。这说明基于学习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表示的方法相较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人工设计特征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浅层分类器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的范式有明显提升，本文提出的状态转移网络表示亦属于前者。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4. 跨工况识别显著更难，本文未覆盖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文献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的跨工况迁移任务中，包括</w:t>
      </w:r>
      <w:r>
        <w:t xml:space="preserve"> CNN </w:t>
      </w:r>
      <w:r>
        <w:rPr>
          <w:rFonts w:ascii="微软雅黑" w:eastAsia="微软雅黑" w:hAnsi="微软雅黑" w:cs="微软雅黑" w:hint="eastAsia"/>
          <w:lang w:eastAsia="zh-CN"/>
        </w:rPr>
        <w:t>基线在内的所有方法准确率仅</w:t>
      </w:r>
      <w:r>
        <w:t xml:space="preserve"> 52% ~ 67%</w:t>
      </w:r>
      <w:r>
        <w:rPr>
          <w:rFonts w:ascii="微软雅黑" w:eastAsia="微软雅黑" w:hAnsi="微软雅黑" w:cs="微软雅黑" w:hint="eastAsia"/>
          <w:lang w:eastAsia="zh-CN"/>
        </w:rPr>
        <w:t>，远低于</w:t>
      </w:r>
      <w:r>
        <w:t xml:space="preserve"> 95%</w:t>
      </w:r>
      <w:r>
        <w:rPr>
          <w:rFonts w:ascii="微软雅黑" w:eastAsia="微软雅黑" w:hAnsi="微软雅黑" w:cs="微软雅黑" w:hint="eastAsia"/>
          <w:lang w:eastAsia="zh-CN"/>
        </w:rPr>
        <w:t>。这与本文分析部分声明的边界一致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本文各工况独立建模，不具备跨工况泛化能力；该限制与领域现状相符，也是后续工作的方向。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四、与现有文献对比（可写入报告）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为评估本文方法的相对水平，选取五篇公开文献进行对比。在使用相同</w:t>
      </w:r>
      <w:r>
        <w:t xml:space="preserve"> SEU </w:t>
      </w:r>
      <w:r>
        <w:rPr>
          <w:rFonts w:ascii="微软雅黑" w:eastAsia="微软雅黑" w:hAnsi="微软雅黑" w:cs="微软雅黑" w:hint="eastAsia"/>
          <w:lang w:eastAsia="zh-CN"/>
        </w:rPr>
        <w:t>数据集的条件下，基于改进</w:t>
      </w:r>
      <w:r>
        <w:t xml:space="preserve"> Transformer </w:t>
      </w:r>
      <w:r>
        <w:rPr>
          <w:rFonts w:ascii="微软雅黑" w:eastAsia="微软雅黑" w:hAnsi="微软雅黑" w:cs="微软雅黑" w:hint="eastAsia"/>
          <w:lang w:eastAsia="zh-CN"/>
        </w:rPr>
        <w:t>的方法报告准确率约</w:t>
      </w:r>
      <w:r>
        <w:t xml:space="preserve"> 99.4%</w:t>
      </w:r>
      <w:r>
        <w:rPr>
          <w:rFonts w:ascii="微软雅黑" w:eastAsia="微软雅黑" w:hAnsi="微软雅黑" w:cs="微软雅黑" w:hint="eastAsia"/>
          <w:lang w:eastAsia="zh-CN"/>
        </w:rPr>
        <w:t>（文献</w:t>
      </w:r>
      <w:r>
        <w:t xml:space="preserve"> [1]</w:t>
      </w:r>
      <w:r>
        <w:rPr>
          <w:rFonts w:ascii="微软雅黑" w:eastAsia="微软雅黑" w:hAnsi="微软雅黑" w:cs="微软雅黑" w:hint="eastAsia"/>
          <w:lang w:eastAsia="zh-CN"/>
        </w:rPr>
        <w:t>），基于</w:t>
      </w:r>
      <w:r>
        <w:t xml:space="preserve"> ICEEMDAN-MPE-AWT </w:t>
      </w:r>
      <w:r>
        <w:rPr>
          <w:rFonts w:ascii="微软雅黑" w:eastAsia="微软雅黑" w:hAnsi="微软雅黑" w:cs="微软雅黑" w:hint="eastAsia"/>
          <w:lang w:eastAsia="zh-CN"/>
        </w:rPr>
        <w:t>降噪与</w:t>
      </w:r>
      <w:r>
        <w:t xml:space="preserve"> SE-ResNeXt50 </w:t>
      </w:r>
      <w:r>
        <w:rPr>
          <w:rFonts w:ascii="微软雅黑" w:eastAsia="微软雅黑" w:hAnsi="微软雅黑" w:cs="微软雅黑" w:hint="eastAsia"/>
          <w:lang w:eastAsia="zh-CN"/>
        </w:rPr>
        <w:t>迁移学习的方法报告</w:t>
      </w:r>
      <w:r>
        <w:t xml:space="preserve"> 99.2% ~ 99.8%</w:t>
      </w:r>
      <w:r>
        <w:rPr>
          <w:rFonts w:ascii="微软雅黑" w:eastAsia="微软雅黑" w:hAnsi="微软雅黑" w:cs="微软雅黑" w:hint="eastAsia"/>
          <w:lang w:eastAsia="zh-CN"/>
        </w:rPr>
        <w:t>（文献</w:t>
      </w:r>
      <w:r>
        <w:t xml:space="preserve"> [4]</w:t>
      </w:r>
      <w:r>
        <w:rPr>
          <w:rFonts w:ascii="微软雅黑" w:eastAsia="微软雅黑" w:hAnsi="微软雅黑" w:cs="微软雅黑" w:hint="eastAsia"/>
          <w:lang w:eastAsia="zh-CN"/>
        </w:rPr>
        <w:t>），本文各组合为</w:t>
      </w:r>
      <w:r>
        <w:t xml:space="preserve"> 97.69% ~ 100%</w:t>
      </w:r>
      <w:r>
        <w:rPr>
          <w:rFonts w:ascii="微软雅黑" w:eastAsia="微软雅黑" w:hAnsi="微软雅黑" w:cs="微软雅黑" w:hint="eastAsia"/>
          <w:lang w:eastAsia="zh-CN"/>
        </w:rPr>
        <w:t>，与之同量级；在</w:t>
      </w:r>
      <w:r>
        <w:t xml:space="preserve"> HUST </w:t>
      </w:r>
      <w:r>
        <w:rPr>
          <w:rFonts w:ascii="微软雅黑" w:eastAsia="微软雅黑" w:hAnsi="微软雅黑" w:cs="微软雅黑" w:hint="eastAsia"/>
          <w:lang w:eastAsia="zh-CN"/>
        </w:rPr>
        <w:t>等齿轮箱数据集上，</w:t>
      </w:r>
      <w:r>
        <w:t xml:space="preserve">MSCNN-LSTM-CBAM-SE </w:t>
      </w:r>
      <w:r>
        <w:rPr>
          <w:rFonts w:ascii="微软雅黑" w:eastAsia="微软雅黑" w:hAnsi="微软雅黑" w:cs="微软雅黑" w:hint="eastAsia"/>
          <w:lang w:eastAsia="zh-CN"/>
        </w:rPr>
        <w:t>报告</w:t>
      </w:r>
      <w:r>
        <w:t xml:space="preserve"> 97.22% ~ 99.85%</w:t>
      </w:r>
      <w:r>
        <w:rPr>
          <w:rFonts w:ascii="微软雅黑" w:eastAsia="微软雅黑" w:hAnsi="微软雅黑" w:cs="微软雅黑" w:hint="eastAsia"/>
          <w:lang w:eastAsia="zh-CN"/>
        </w:rPr>
        <w:t>（文献</w:t>
      </w:r>
      <w:r>
        <w:t xml:space="preserve"> [2]</w:t>
      </w:r>
      <w:r>
        <w:rPr>
          <w:rFonts w:ascii="微软雅黑" w:eastAsia="微软雅黑" w:hAnsi="微软雅黑" w:cs="微软雅黑" w:hint="eastAsia"/>
          <w:lang w:eastAsia="zh-CN"/>
        </w:rPr>
        <w:t>），本文结果亦落在该区间。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值得注意的是，本文仅以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的多时间步转移矩阵作为输入，未使用注意力、多尺度卷积等复杂结构，即达到与上述方法相当的性能，说明所提出的状态转移网络表示能够有效刻画故障特征。与之相对，采用高阶矩等手工时域特征结合传统机器学习分类器的方法（文献</w:t>
      </w:r>
      <w:r>
        <w:t xml:space="preserve"> [5]</w:t>
      </w:r>
      <w:r>
        <w:rPr>
          <w:rFonts w:ascii="微软雅黑" w:eastAsia="微软雅黑" w:hAnsi="微软雅黑" w:cs="微软雅黑" w:hint="eastAsia"/>
          <w:lang w:eastAsia="zh-CN"/>
        </w:rPr>
        <w:t>）在三类齿轮箱数据集上准确率仅为</w:t>
      </w:r>
      <w:r>
        <w:t xml:space="preserve"> 81.67% ~ 92.60%</w:t>
      </w:r>
      <w:r>
        <w:rPr>
          <w:rFonts w:ascii="微软雅黑" w:eastAsia="微软雅黑" w:hAnsi="微软雅黑" w:cs="微软雅黑" w:hint="eastAsia"/>
          <w:lang w:eastAsia="zh-CN"/>
        </w:rPr>
        <w:t>，明显低于基于学习表示的方法，进一步说明本文表示范式的有效性。此外，跨工况迁移任务（文献</w:t>
      </w:r>
      <w:r>
        <w:t xml:space="preserve"> [3]</w:t>
      </w:r>
      <w:r>
        <w:rPr>
          <w:rFonts w:ascii="微软雅黑" w:eastAsia="微软雅黑" w:hAnsi="微软雅黑" w:cs="微软雅黑" w:hint="eastAsia"/>
          <w:lang w:eastAsia="zh-CN"/>
        </w:rPr>
        <w:t>）中各方法准确率普遍低于</w:t>
      </w:r>
      <w:r>
        <w:t xml:space="preserve"> 70%</w:t>
      </w:r>
      <w:r>
        <w:rPr>
          <w:rFonts w:ascii="微软雅黑" w:eastAsia="微软雅黑" w:hAnsi="微软雅黑" w:cs="微软雅黑" w:hint="eastAsia"/>
          <w:lang w:eastAsia="zh-CN"/>
        </w:rPr>
        <w:t>，说明跨工况识别难度远高于同工况分类；本文方法目前针对单工况建模，跨工况泛化尚待研究。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五、引用文献</w:t>
      </w:r>
    </w:p>
    <w:p>
      <w:pPr>
        <w:spacing w:after="90"/>
      </w:pPr>
      <w:r>
        <w:rPr>
          <w:sz w:val="18"/>
        </w:rPr>
        <w:t>[1] Keming Guan, Bing Du, Zhe Wu, Jinfeng Li, Yan Zhang. Fault Diagnosis of Gearbox Based on Improved Transformer. ACM, 2023.</w:t>
      </w:r>
    </w:p>
    <w:p>
      <w:pPr>
        <w:spacing w:after="90"/>
      </w:pPr>
      <w:r>
        <w:rPr>
          <w:sz w:val="18"/>
        </w:rPr>
        <w:t>[2] Chao He, Jarula Yasenjiang, Luhui Lv, Lihua Xu, Zhigang Lan. Gearbox Fault Diagnosis Based on MSCNN-LSTM-CBAM-SE. Sensors, 2024, 24(14): 4682.</w:t>
      </w:r>
    </w:p>
    <w:p>
      <w:pPr>
        <w:spacing w:after="90"/>
      </w:pPr>
      <w:r>
        <w:rPr>
          <w:sz w:val="18"/>
        </w:rPr>
        <w:t>[3] Qikang Li, Baoping Tang, Lei Deng, Peng Zhu. Source-free domain adaptation framework for fault diagnosis of rotation machinery under data privacy. Reliability Engineering &amp; System Safety, 2023, 238: 109468.</w:t>
      </w:r>
    </w:p>
    <w:p>
      <w:pPr>
        <w:spacing w:after="90"/>
      </w:pPr>
      <w:r>
        <w:rPr>
          <w:sz w:val="18"/>
        </w:rPr>
        <w:t>[4] Hongfeng Gao, Tiexin Xu, Renlong Li, Chaozhi Cai. Gearbox Fault Diagnosis Based on ICEEMDAN-MPE-AWT and SE-ResNeXt50 Transfer Learning Model. Applied Sciences, 2024, 14(6): 2565.</w:t>
      </w:r>
    </w:p>
    <w:p>
      <w:pPr>
        <w:spacing w:after="90"/>
      </w:pPr>
      <w:r>
        <w:rPr>
          <w:sz w:val="18"/>
        </w:rPr>
        <w:t>[5] Sanjeev Kumar, Vikash Kumar, Somnath Sarangi, Om Prakash Singh. Gearbox fault diagnosis: A higher order moments approach. Measurement, 2023, 210: 112489.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8" w:after="120"/>
      <w:outlineLvl w:val="2"/>
    </w:pPr>
    <w:rPr>
      <w:rFonts w:ascii="微软雅黑" w:hAnsi="微软雅黑" w:eastAsia="微软雅黑"/>
      <w:b/>
      <w:bCs/>
      <w:color w:val="1A23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