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color w:val="0B3D63"/>
          <w:sz w:val="40"/>
          <w:lang w:eastAsia="zh-CN"/>
        </w:rPr>
        <w:t>更多「同源文献中低于本文」的可比实验对照</w:t>
      </w:r>
      <w:r/>
    </w:p>
    <w:p>
      <w:pPr>
        <w:spacing w:after="80"/>
        <w:jc w:val="center"/>
      </w:pPr>
      <w:r>
        <w:rPr>
          <w:color w:val="5A6A7A"/>
          <w:sz w:val="20"/>
        </w:rPr>
        <w:t xml:space="preserve">SEU </w:t>
      </w:r>
      <w:r>
        <w:rPr>
          <w:rFonts w:ascii="Microsoft YaHei" w:eastAsia="Microsoft YaHei" w:hAnsi="Microsoft YaHei" w:cs="Microsoft YaHei" w:hint="eastAsia"/>
          <w:color w:val="5A6A7A"/>
          <w:sz w:val="20"/>
          <w:lang w:eastAsia="zh-CN"/>
        </w:rPr>
        <w:t>旋转机械故障诊断</w:t>
      </w:r>
      <w:r>
        <w:rPr>
          <w:color w:val="5A6A7A"/>
          <w:sz w:val="20"/>
        </w:rPr>
        <w:t xml:space="preserve"> · </w:t>
      </w:r>
      <w:r>
        <w:rPr>
          <w:rFonts w:ascii="Microsoft YaHei" w:eastAsia="Microsoft YaHei" w:hAnsi="Microsoft YaHei" w:cs="Microsoft YaHei" w:hint="eastAsia"/>
          <w:color w:val="5A6A7A"/>
          <w:sz w:val="20"/>
          <w:lang w:eastAsia="zh-CN"/>
        </w:rPr>
        <w:t>按导师</w:t>
      </w:r>
      <w:r>
        <w:rPr>
          <w:color w:val="5A6A7A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5A6A7A"/>
          <w:sz w:val="20"/>
          <w:lang w:eastAsia="zh-CN"/>
        </w:rPr>
        <w:t>同库、同任务、同划分、同验证、同指标</w:t>
      </w:r>
      <w:r>
        <w:rPr>
          <w:color w:val="5A6A7A"/>
          <w:sz w:val="20"/>
        </w:rPr>
        <w:t>"</w:t>
      </w:r>
      <w:r>
        <w:rPr>
          <w:rFonts w:ascii="Microsoft YaHei" w:eastAsia="Microsoft YaHei" w:hAnsi="Microsoft YaHei" w:cs="Microsoft YaHei" w:hint="eastAsia"/>
          <w:color w:val="5A6A7A"/>
          <w:sz w:val="20"/>
          <w:lang w:eastAsia="zh-CN"/>
        </w:rPr>
        <w:t>口径整理</w:t>
      </w:r>
      <w:r/>
    </w:p>
    <w:p>
      <w:pPr>
        <w:spacing w:before="0" w:after="0"/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本文基准：</w:t>
      </w:r>
      <w:r>
        <w:t xml:space="preserve">8 </w:t>
      </w:r>
      <w:r>
        <w:rPr>
          <w:rFonts w:ascii="Microsoft YaHei" w:eastAsia="Microsoft YaHei" w:hAnsi="Microsoft YaHei" w:cs="Microsoft YaHei" w:hint="eastAsia"/>
          <w:lang w:eastAsia="zh-CN"/>
        </w:rPr>
        <w:t>个组合（轴承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齿轮</w:t>
      </w:r>
      <w:r>
        <w:t xml:space="preserve"> × 20-0/30-2 × CNN/GCN</w:t>
      </w:r>
      <w:r>
        <w:rPr>
          <w:rFonts w:ascii="Microsoft YaHei" w:eastAsia="Microsoft YaHei" w:hAnsi="Microsoft YaHei" w:cs="Microsoft YaHei" w:hint="eastAsia"/>
          <w:lang w:eastAsia="zh-CN"/>
        </w:rPr>
        <w:t>），密封测试集准确率</w:t>
      </w:r>
      <w:r>
        <w:t xml:space="preserve"> </w:t>
      </w:r>
      <w:r>
        <w:rPr>
          <w:b/>
          <w:color w:val="0B6B3A"/>
        </w:rPr>
        <w:t>97.69% ~ 100%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。轴承 </w:t>
      </w:r>
      <w:r>
        <w:rPr>
          <w:b/>
          <w:color w:val="0B6B3A"/>
        </w:rPr>
        <w:t>99.85~100%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，齿轮 </w:t>
      </w:r>
      <w:r>
        <w:rPr>
          <w:b/>
          <w:color w:val="0B6B3A"/>
        </w:rPr>
        <w:t>97.69~99.85%</w:t>
      </w:r>
      <w:r>
        <w:rPr>
          <w:rFonts w:ascii="Microsoft YaHei" w:eastAsia="Microsoft YaHei" w:hAnsi="Microsoft YaHei" w:cs="Microsoft YaHei" w:hint="eastAsia"/>
          <w:lang w:eastAsia="zh-CN"/>
        </w:rPr>
        <w:t>，均为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单工况各自建模、5 分类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D63"/>
          <w:sz w:val="28"/>
          <w:lang w:eastAsia="zh-CN"/>
        </w:rPr>
        <w:t>一、强可比清单：同 SEU、同类任务、结果低于本文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1507A"/>
          <w:sz w:val="23"/>
          <w:lang w:eastAsia="zh-CN"/>
        </w:rPr>
        <w:t>表 A. 齿轮箱任务（SEU gearbox，5 类）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来源文献（年份）</w:t>
            </w:r>
          </w:p>
        </w:tc>
        <w:tc>
          <w:tcPr>
            <w:tcW w:type="dxa" w:w="1728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报告方法</w:t>
            </w:r>
          </w:p>
        </w:tc>
        <w:tc>
          <w:tcPr>
            <w:tcW w:type="dxa" w:w="1728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准确率</w:t>
            </w:r>
          </w:p>
        </w:tc>
        <w:tc>
          <w:tcPr>
            <w:tcW w:type="dxa" w:w="1728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我们（齿轮）</w:t>
            </w:r>
          </w:p>
        </w:tc>
        <w:tc>
          <w:tcPr>
            <w:tcW w:type="dxa" w:w="1728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Merge w:val="restart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Kibrete et al., Journal of Engineering (Wiley) 2025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CNN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94.12%</w:t>
            </w:r>
          </w:p>
        </w:tc>
        <w:tc>
          <w:tcPr>
            <w:tcW w:type="dxa" w:w="1728"/>
            <w:vMerge w:val="restart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0B6B3A"/>
              </w:rPr>
              <w:t>97.69~99.85%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同</w:t>
            </w:r>
            <w:r>
              <w:t xml:space="preserve"> </w:t>
            </w:r>
            <w:r>
              <w:t xml:space="preserve"> SEU </w:t>
            </w:r>
            <w:r>
              <w:t xml:space="preserve"> </w:t>
            </w:r>
            <w:r>
              <w:t>齿轮箱，</w:t>
            </w:r>
            <w:r>
              <w:t xml:space="preserve"> </w:t>
            </w:r>
            <w:r>
              <w:t xml:space="preserve">10 </w:t>
            </w:r>
            <w:r>
              <w:t xml:space="preserve"> </w:t>
            </w:r>
            <w:r>
              <w:t>次重复取均值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LSTM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94.90%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1D CNN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97.67%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与本文齿轮下限相当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1D CNN-LSTM</w:t>
            </w:r>
            <w:r>
              <w:t xml:space="preserve"> </w:t>
            </w:r>
            <w:r>
              <w:t>（其最优）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99.15%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与其自报最优同档</w:t>
            </w:r>
          </w:p>
        </w:tc>
      </w:tr>
      <w:tr>
        <w:tc>
          <w:tcPr>
            <w:tcW w:type="dxa" w:w="1728"/>
            <w:vMerge w:val="restart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多模态深度融合</w:t>
            </w:r>
            <w:r>
              <w:t xml:space="preserve"> </w:t>
            </w:r>
            <w:r>
              <w:t>, ACM CIISAI 2025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Transformer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71.08%</w:t>
            </w:r>
          </w:p>
        </w:tc>
        <w:tc>
          <w:tcPr>
            <w:tcW w:type="dxa" w:w="1728"/>
            <w:vMerge w:val="restart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0B6B3A"/>
              </w:rPr>
              <w:t>97.69~99.85%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同</w:t>
            </w:r>
            <w:r>
              <w:t xml:space="preserve"> </w:t>
            </w:r>
            <w:r>
              <w:t xml:space="preserve"> SEU </w:t>
            </w:r>
            <w:r>
              <w:t xml:space="preserve"> </w:t>
            </w:r>
            <w:r>
              <w:t>齿轮箱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CNN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97.27%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DB-FTFE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94.10%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 w:val="restart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  <w:shd w:val="clear" w:color="auto" w:fill="F4F8FB"/>
          </w:tcPr>
          <w:p>
            <w:pPr>
              <w:spacing w:line="240" w:lineRule="auto" w:before="60" w:after="60"/>
            </w:pPr>
            <w:r>
              <w:t xml:space="preserve">IAMCNN, </w:t>
            </w:r>
            <w:r>
              <w:t xml:space="preserve"> </w:t>
            </w:r>
            <w:r>
              <w:t>华东理工大学学报</w:t>
            </w:r>
            <w:r>
              <w:t xml:space="preserve"> </w:t>
            </w:r>
            <w:r>
              <w:t xml:space="preserve"> 2024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BP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90.44%</w:t>
            </w:r>
          </w:p>
        </w:tc>
        <w:tc>
          <w:tcPr>
            <w:tcW w:type="dxa" w:w="1728"/>
            <w:vMerge w:val="restart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0B6B3A"/>
              </w:rPr>
              <w:t>97.69~99.85%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同</w:t>
            </w:r>
            <w:r>
              <w:t xml:space="preserve"> </w:t>
            </w:r>
            <w:r>
              <w:t xml:space="preserve"> SEU </w:t>
            </w:r>
            <w:r>
              <w:t xml:space="preserve"> </w:t>
            </w:r>
            <w:r>
              <w:t>齿轮箱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CNN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93.52%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SE-Net-CNN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95.65%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CBAM-CNN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96.21%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LSTM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96.75%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ResNet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97.42%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 w:val="restart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  <w:shd w:val="clear" w:color="auto" w:fill="F4F8FB"/>
          </w:tcPr>
          <w:p>
            <w:pPr>
              <w:spacing w:line="240" w:lineRule="auto" w:before="60" w:after="60"/>
            </w:pPr>
            <w:r>
              <w:t>CNN-LSTM+Attention, AMMMP 2024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LSTM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90.75%</w:t>
            </w:r>
          </w:p>
        </w:tc>
        <w:tc>
          <w:tcPr>
            <w:tcW w:type="dxa" w:w="1728"/>
            <w:vMerge w:val="restart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0B6B3A"/>
              </w:rPr>
              <w:t>97.69~99.85%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同</w:t>
            </w:r>
            <w:r>
              <w:t xml:space="preserve"> </w:t>
            </w:r>
            <w:r>
              <w:t xml:space="preserve"> SEU </w:t>
            </w:r>
            <w:r>
              <w:t xml:space="preserve"> </w:t>
            </w:r>
            <w:r>
              <w:t>齿轮箱，</w:t>
            </w:r>
            <w:r>
              <w:t xml:space="preserve"> </w:t>
            </w:r>
            <w:r>
              <w:t xml:space="preserve">10 </w:t>
            </w:r>
            <w:r>
              <w:t xml:space="preserve"> </w:t>
            </w:r>
            <w:r>
              <w:t>次均值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CNN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92.90%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CNN-LSTM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94.82%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CNN-AM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96.28%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 xml:space="preserve">SVMD </w:t>
            </w:r>
            <w:r>
              <w:t xml:space="preserve"> </w:t>
            </w:r>
            <w:r>
              <w:t>熵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机器学习</w:t>
            </w:r>
            <w:r>
              <w:t xml:space="preserve"> </w:t>
            </w:r>
            <w:r>
              <w:t>, Algorithms 2023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KNN/SVM/RF/GBDT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89.41~96.02%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0B6B3A"/>
              </w:rPr>
              <w:t>97.69~99.85%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同</w:t>
            </w:r>
            <w:r>
              <w:t xml:space="preserve"> </w:t>
            </w:r>
            <w:r>
              <w:t xml:space="preserve"> SEU </w:t>
            </w:r>
            <w:r>
              <w:t xml:space="preserve"> </w:t>
            </w: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类、两工况各自建模</w:t>
            </w:r>
          </w:p>
        </w:tc>
      </w:tr>
      <w:tr>
        <w:tc>
          <w:tcPr>
            <w:tcW w:type="dxa" w:w="1728"/>
            <w:vMerge w:val="restart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CA-DRSN, Sci Rep 2024</w:t>
            </w:r>
            <w:r>
              <w:t xml:space="preserve"> </w:t>
            </w:r>
            <w:r>
              <w:t>（加噪）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AlexNet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77.7%</w:t>
            </w:r>
          </w:p>
        </w:tc>
        <w:tc>
          <w:tcPr>
            <w:tcW w:type="dxa" w:w="1728"/>
            <w:vMerge w:val="restart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0B6B3A"/>
              </w:rPr>
              <w:t>97.69~99.85%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同</w:t>
            </w:r>
            <w:r>
              <w:t xml:space="preserve"> </w:t>
            </w:r>
            <w:r>
              <w:t xml:space="preserve"> SEU </w:t>
            </w:r>
            <w:r>
              <w:t xml:space="preserve"> </w:t>
            </w:r>
            <w:r>
              <w:t>齿轮，噪声下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BiLSTM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91.1%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ResNet18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95.5%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DRSN-LSTM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90.9%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DRSN-CW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93.3%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DRSN-ECA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96.5%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1507A"/>
          <w:sz w:val="23"/>
          <w:lang w:eastAsia="zh-CN"/>
        </w:rPr>
        <w:t>表 B. 轴承任务（SEU bearing，5 类）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来源文献（年份）</w:t>
            </w:r>
          </w:p>
        </w:tc>
        <w:tc>
          <w:tcPr>
            <w:tcW w:type="dxa" w:w="1728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报告方法</w:t>
            </w:r>
          </w:p>
        </w:tc>
        <w:tc>
          <w:tcPr>
            <w:tcW w:type="dxa" w:w="1728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准确率</w:t>
            </w:r>
          </w:p>
        </w:tc>
        <w:tc>
          <w:tcPr>
            <w:tcW w:type="dxa" w:w="1728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我们（轴承）</w:t>
            </w:r>
          </w:p>
        </w:tc>
        <w:tc>
          <w:tcPr>
            <w:tcW w:type="dxa" w:w="1728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Merge w:val="restart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多模态深度融合</w:t>
            </w:r>
            <w:r>
              <w:t xml:space="preserve"> </w:t>
            </w:r>
            <w:r>
              <w:t>, ACM CIISAI 2025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Transformer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63.56%</w:t>
            </w:r>
          </w:p>
        </w:tc>
        <w:tc>
          <w:tcPr>
            <w:tcW w:type="dxa" w:w="1728"/>
            <w:vMerge w:val="restart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0B6B3A"/>
              </w:rPr>
              <w:t>99.85~100%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同</w:t>
            </w:r>
            <w:r>
              <w:t xml:space="preserve"> </w:t>
            </w:r>
            <w:r>
              <w:t xml:space="preserve"> SEU </w:t>
            </w:r>
            <w:r>
              <w:t xml:space="preserve"> </w:t>
            </w:r>
            <w:r>
              <w:t>轴承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CNN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89.50%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 w:val="restart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 xml:space="preserve">SVMD </w:t>
            </w:r>
            <w:r>
              <w:t xml:space="preserve"> </w:t>
            </w:r>
            <w:r>
              <w:t>熵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机器学习</w:t>
            </w:r>
            <w:r>
              <w:t xml:space="preserve"> </w:t>
            </w:r>
            <w:r>
              <w:t>, Algorithms 2023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SVM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30-2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94.12%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</w:t>
            </w:r>
            <w:r>
              <w:t xml:space="preserve"> </w:t>
            </w:r>
            <w:r>
              <w:t xml:space="preserve"> SEU </w:t>
            </w:r>
            <w:r>
              <w:t xml:space="preserve"> </w:t>
            </w:r>
            <w:r>
              <w:t>轴承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k-NN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30-2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97.25%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RF/GBDT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30-2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95.29~95.69%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全网格（表</w:t>
            </w:r>
            <w:r>
              <w:t xml:space="preserve"> </w:t>
            </w:r>
            <w:r>
              <w:t xml:space="preserve"> 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91.76~99.61%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D63"/>
          <w:sz w:val="28"/>
          <w:lang w:eastAsia="zh-CN"/>
        </w:rPr>
        <w:t>二、需注明"设置不同"的对照（同 SEU，但类别数/条件不同）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来源文献（年份）</w:t>
            </w:r>
          </w:p>
        </w:tc>
        <w:tc>
          <w:tcPr>
            <w:tcW w:type="dxa" w:w="2160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160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报告准确率</w:t>
            </w:r>
          </w:p>
        </w:tc>
        <w:tc>
          <w:tcPr>
            <w:tcW w:type="dxa" w:w="2160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与我们不同的地方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MGE-ResNet, Processes 2025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SVM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81.46%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 xml:space="preserve">SEU </w:t>
            </w:r>
            <w:r>
              <w:t xml:space="preserve"> </w:t>
            </w:r>
            <w:r>
              <w:t>轴承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10 类</w:t>
            </w:r>
            <w:r>
              <w:t xml:space="preserve"> </w:t>
            </w:r>
            <w:r>
              <w:t>（两工况合并），我们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同上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TICNN / SE-ResNet152 / Ni-Net / Imp. AlexNet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88~98%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同上（</w:t>
            </w:r>
            <w:r>
              <w:t xml:space="preserve"> </w:t>
            </w:r>
            <w:r>
              <w:t xml:space="preserve">10 </w:t>
            </w:r>
            <w:r>
              <w:t xml:space="preserve"> </w:t>
            </w:r>
            <w:r>
              <w:t>类）</w:t>
            </w:r>
          </w:p>
        </w:tc>
      </w:tr>
      <w:tr>
        <w:tc>
          <w:tcPr>
            <w:tcW w:type="dxa" w:w="2160"/>
            <w:vMerge w:val="restart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IIETA MSRC+CBAM</w:t>
            </w:r>
            <w:r>
              <w:t xml:space="preserve"> </w:t>
            </w:r>
            <w:r>
              <w:t>（文献</w:t>
            </w:r>
            <w:r>
              <w:t xml:space="preserve"> </w:t>
            </w:r>
            <w:r>
              <w:t xml:space="preserve"> 5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2025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LeNet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79.57%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60% </w:t>
            </w:r>
            <w:r>
              <w:t xml:space="preserve"> </w:t>
            </w:r>
            <w:r>
              <w:t>训练）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划分比例不同；</w:t>
            </w:r>
            <w:r>
              <w:t xml:space="preserve"> </w:t>
            </w:r>
            <w:r>
              <w:t xml:space="preserve">4 </w:t>
            </w:r>
            <w:r>
              <w:t xml:space="preserve"> </w:t>
            </w:r>
            <w:r>
              <w:t>任务（轴承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齿轮</w:t>
            </w:r>
            <w:r>
              <w:t xml:space="preserve"> </w:t>
            </w:r>
            <w:r>
              <w:t>×G1/G2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AlexNet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97.33%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60%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MSCNN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94.19%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60%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ResNet34 / ResNet50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95.77% / 98.22%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60%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top"/>
            <w:tcBorders>
              <w:top w:val="single" w:sz="6.0" w:color="C8D6E2"/>
              <w:right w:val="single" w:sz="6.0" w:color="C8D6E2"/>
              <w:bottom w:val="single" w:sz="6.0" w:color="C8D6E2"/>
              <w:left w:val="single" w:sz="6.0" w:color="C8D6E2"/>
            </w:tcBorders>
          </w:tcPr>
          <w:p>
            <w:r>
              <w:t>同上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SCBM-Net, Sci Rep 2025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其方法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98.33%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 xml:space="preserve">SEU </w:t>
            </w:r>
            <w:r>
              <w:t xml:space="preserve"> </w:t>
            </w:r>
            <w:r>
              <w:t>轴承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10 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SAGAN-IResNet, Sci Rep 2025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其方法（少样本）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92.57~98.50%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少样本设置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 xml:space="preserve">Deep Ensemble </w:t>
            </w:r>
            <w:r>
              <w:t xml:space="preserve"> </w:t>
            </w:r>
            <w:r>
              <w:t>多形态融合</w:t>
            </w:r>
            <w:r>
              <w:t xml:space="preserve"> </w:t>
            </w:r>
            <w:r>
              <w:t>, Sensors 2025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单测点</w:t>
            </w:r>
            <w:r>
              <w:t xml:space="preserve"> </w:t>
            </w:r>
            <w:r>
              <w:t xml:space="preserve"> WDCNN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&lt;93%（半数测点 &lt;80%）</w:t>
            </w:r>
          </w:p>
        </w:tc>
        <w:tc>
          <w:tcPr>
            <w:tcW w:type="dxa" w:w="216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单通道输入，我们为多通道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D63"/>
          <w:sz w:val="28"/>
          <w:lang w:eastAsia="zh-CN"/>
        </w:rPr>
        <w:t>三、强噪声条件对照（说明基线在强噪声下退化明显）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color w:val="6B7A89"/>
          <w:sz w:val="18"/>
          <w:lang w:eastAsia="zh-CN"/>
        </w:rPr>
        <w:t>来源：</w:t>
      </w:r>
      <w:r>
        <w:rPr>
          <w:color w:val="6B7A89"/>
          <w:sz w:val="18"/>
        </w:rPr>
        <w:t>FE-MCFormer / FEMSN, arXiv 2025</w:t>
      </w:r>
      <w:r>
        <w:rPr>
          <w:rFonts w:ascii="Microsoft YaHei" w:eastAsia="Microsoft YaHei" w:hAnsi="Microsoft YaHei" w:cs="Microsoft YaHei" w:hint="eastAsia"/>
          <w:color w:val="6B7A89"/>
          <w:sz w:val="18"/>
          <w:lang w:eastAsia="zh-CN"/>
        </w:rPr>
        <w:t>（</w:t>
      </w:r>
      <w:r>
        <w:rPr>
          <w:color w:val="6B7A89"/>
          <w:sz w:val="18"/>
        </w:rPr>
        <w:t xml:space="preserve">SEU </w:t>
      </w:r>
      <w:r>
        <w:rPr>
          <w:rFonts w:ascii="Microsoft YaHei" w:eastAsia="Microsoft YaHei" w:hAnsi="Microsoft YaHei" w:cs="Microsoft YaHei" w:hint="eastAsia"/>
          <w:color w:val="6B7A89"/>
          <w:sz w:val="18"/>
          <w:lang w:eastAsia="zh-CN"/>
        </w:rPr>
        <w:t>齿轮箱，</w:t>
      </w:r>
      <w:r>
        <w:rPr>
          <w:color w:val="6B7A89"/>
          <w:sz w:val="18"/>
        </w:rPr>
        <w:t xml:space="preserve">5000 </w:t>
      </w:r>
      <w:r>
        <w:rPr>
          <w:rFonts w:ascii="Microsoft YaHei" w:eastAsia="Microsoft YaHei" w:hAnsi="Microsoft YaHei" w:cs="Microsoft YaHei" w:hint="eastAsia"/>
          <w:color w:val="6B7A89"/>
          <w:sz w:val="18"/>
          <w:lang w:eastAsia="zh-CN"/>
        </w:rPr>
        <w:t>样本，</w:t>
      </w:r>
      <w:r>
        <w:rPr>
          <w:color w:val="6B7A89"/>
          <w:sz w:val="18"/>
        </w:rPr>
        <w:t xml:space="preserve">4000 </w:t>
      </w:r>
      <w:r>
        <w:rPr>
          <w:rFonts w:ascii="Microsoft YaHei" w:eastAsia="Microsoft YaHei" w:hAnsi="Microsoft YaHei" w:cs="Microsoft YaHei" w:hint="eastAsia"/>
          <w:color w:val="6B7A89"/>
          <w:sz w:val="18"/>
          <w:lang w:eastAsia="zh-CN"/>
        </w:rPr>
        <w:t>训练</w:t>
      </w:r>
      <w:r>
        <w:rPr>
          <w:color w:val="6B7A89"/>
          <w:sz w:val="18"/>
        </w:rPr>
        <w:t xml:space="preserve"> / 1000 </w:t>
      </w:r>
      <w:r>
        <w:rPr>
          <w:rFonts w:ascii="Microsoft YaHei" w:eastAsia="Microsoft YaHei" w:hAnsi="Microsoft YaHei" w:cs="Microsoft YaHei" w:hint="eastAsia"/>
          <w:color w:val="6B7A89"/>
          <w:sz w:val="18"/>
          <w:lang w:eastAsia="zh-CN"/>
        </w:rPr>
        <w:t>测试）。仅说明强噪声下基线的退化，</w:t>
      </w:r>
      <w:r>
        <w:rPr>
          <w:rFonts w:ascii="Microsoft YaHei" w:eastAsia="Microsoft YaHei" w:hAnsi="Microsoft YaHei" w:cs="Microsoft YaHei" w:hint="eastAsia"/>
          <w:b/>
          <w:color w:val="6B7A89"/>
          <w:sz w:val="18"/>
          <w:lang w:eastAsia="zh-CN"/>
        </w:rPr>
        <w:t>不与本文干净信号结果直接比</w:t>
      </w:r>
      <w:r>
        <w:rPr>
          <w:rFonts w:ascii="Microsoft YaHei" w:eastAsia="Microsoft YaHei" w:hAnsi="Microsoft YaHei" w:cs="Microsoft YaHei" w:hint="eastAsia"/>
          <w:color w:val="6B7A89"/>
          <w:sz w:val="18"/>
          <w:lang w:eastAsia="zh-CN"/>
        </w:rPr>
        <w:t>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880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SNR=−10dB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（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mean/max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）</w:t>
            </w:r>
          </w:p>
        </w:tc>
        <w:tc>
          <w:tcPr>
            <w:tcW w:type="dxa" w:w="2880"/>
            <w:shd w:val="clear" w:color="auto" w:fill="0B3D63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SNR=−8dB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（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mean/max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MSCNN-LSTM</w:t>
            </w:r>
          </w:p>
        </w:tc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28.16 / 42.47</w:t>
            </w:r>
          </w:p>
        </w:tc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48.18 / 50.63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MA1DCNN</w:t>
            </w:r>
          </w:p>
        </w:tc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62.29 / 64.53</w:t>
            </w:r>
          </w:p>
        </w:tc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70.22 / 74.34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WDCNN</w:t>
            </w:r>
          </w:p>
        </w:tc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66.16 / 67.15</w:t>
            </w:r>
          </w:p>
        </w:tc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80.77 / 81.63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ResNet50</w:t>
            </w:r>
          </w:p>
        </w:tc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78.54 / 79.79</w:t>
            </w:r>
          </w:p>
        </w:tc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90.61 / 91.16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DenseNet</w:t>
            </w:r>
          </w:p>
        </w:tc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74.07 / 75.51</w:t>
            </w:r>
          </w:p>
        </w:tc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shd w:val="clear" w:color="auto" w:fill="F4F8FB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87.97 / 89.21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Li-convformer</w:t>
            </w:r>
          </w:p>
        </w:tc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C0392B"/>
              </w:rPr>
              <w:t>75.02 / 76.68</w:t>
            </w:r>
          </w:p>
        </w:tc>
        <w:tc>
          <w:tcPr>
            <w:tcW w:type="dxa" w:w="2880"/>
            <w:vAlign w:val="center"/>
            <w:tcBorders>
              <w:top w:val="single" w:sz="6" w:space="0" w:color="C8D6E2"/>
              <w:bottom w:val="single" w:sz="6" w:space="0" w:color="C8D6E2"/>
              <w:left w:val="single" w:sz="6" w:space="0" w:color="C8D6E2"/>
              <w:right w:val="single" w:sz="6" w:space="0" w:color="C8D6E2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88.05 / 88.82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D63"/>
          <w:sz w:val="28"/>
          <w:lang w:eastAsia="zh-CN"/>
        </w:rPr>
        <w:t>四、结论</w:t>
      </w:r>
      <w:r/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同库同任务、且确实低于本文的深度基线很多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CNN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89.5~94.12%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>LSTM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90.75~94.90%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>Transformer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63.56~71.08%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>BP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90.44%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>AlexNet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77.7%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>BiLSTM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91.1%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>ResNet18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95.5%</w:t>
      </w:r>
      <w:r>
        <w:rPr>
          <w:rFonts w:ascii="Microsoft YaHei" w:eastAsia="Microsoft YaHei" w:hAnsi="Microsoft YaHei" w:cs="Microsoft YaHei" w:hint="eastAsia"/>
          <w:lang w:eastAsia="zh-CN"/>
        </w:rPr>
        <w:t>）等，普遍比本文低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color w:val="C0392B"/>
          <w:lang w:eastAsia="zh-CN"/>
        </w:rPr>
        <w:t>3~35 个百分点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传统机器学习方法更低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SVM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81.46~94.12%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>k-NN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97.25%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>BP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90.44%</w:t>
      </w:r>
      <w:r>
        <w:rPr>
          <w:rFonts w:ascii="Microsoft YaHei" w:eastAsia="Microsoft YaHei" w:hAnsi="Microsoft YaHei" w:cs="Microsoft YaHei" w:hint="eastAsia"/>
          <w:lang w:eastAsia="zh-CN"/>
        </w:rPr>
        <w:t>）等。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面对各文献"自报最优"仍属同档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1D CNN-LSTM 99.15%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SVMD+RF 99.22%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MSRC 99.56~99.6%</w:t>
      </w:r>
      <w:r>
        <w:rPr>
          <w:rFonts w:ascii="Microsoft YaHei" w:eastAsia="Microsoft YaHei" w:hAnsi="Microsoft YaHei" w:cs="Microsoft YaHei" w:hint="eastAsia"/>
          <w:lang w:eastAsia="zh-CN"/>
        </w:rPr>
        <w:t>，与本文</w:t>
      </w:r>
      <w:r>
        <w:t xml:space="preserve"> 97.69~100% </w:t>
      </w:r>
      <w:r>
        <w:rPr>
          <w:rFonts w:ascii="Microsoft YaHei" w:eastAsia="Microsoft YaHei" w:hAnsi="Microsoft YaHei" w:cs="Microsoft YaHei" w:hint="eastAsia"/>
          <w:lang w:eastAsia="zh-CN"/>
        </w:rPr>
        <w:t>同一水平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但本文参数少约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个数量级，且做了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折时间序列</w:t>
      </w:r>
      <w:r>
        <w:t xml:space="preserve"> CV + </w:t>
      </w:r>
      <w:r>
        <w:rPr>
          <w:rFonts w:ascii="Microsoft YaHei" w:eastAsia="Microsoft YaHei" w:hAnsi="Microsoft YaHei" w:cs="Microsoft YaHei" w:hint="eastAsia"/>
          <w:lang w:eastAsia="zh-CN"/>
        </w:rPr>
        <w:t>独立留出。</w:t>
      </w:r>
      <w:r/>
    </w:p>
    <w:p>
      <w:pPr>
        <w:spacing w:before="0" w:after="80"/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使用注意（避免被一句"设置不一样"驳回）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双层写</w:t>
      </w:r>
      <w:r>
        <w:rPr>
          <w:rFonts w:ascii="Microsoft YaHei" w:eastAsia="Microsoft YaHei" w:hAnsi="Microsoft YaHei" w:cs="Microsoft YaHei" w:hint="eastAsia"/>
          <w:lang w:eastAsia="zh-CN"/>
        </w:rPr>
        <w:t>：先列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最强对手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承认同档，再列基线方法显示优势，不能只挑软柿子。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类别数不同要注明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MGE-ResNet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SCBM-Net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类，难度天然更高，仅作量级参照。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加噪/少样本要注明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CA-DRSN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FE-MCFormer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SAGAN </w:t>
      </w:r>
      <w:r>
        <w:rPr>
          <w:rFonts w:ascii="Microsoft YaHei" w:eastAsia="Microsoft YaHei" w:hAnsi="Microsoft YaHei" w:cs="Microsoft YaHei" w:hint="eastAsia"/>
          <w:lang w:eastAsia="zh-CN"/>
        </w:rPr>
        <w:t>是噪声或少样本设置，不与干净信号结果直接比。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措辞留余地</w:t>
      </w:r>
      <w:r>
        <w:rPr>
          <w:rFonts w:ascii="Microsoft YaHei" w:eastAsia="Microsoft YaHei" w:hAnsi="Microsoft YaHei" w:cs="Microsoft YaHei" w:hint="eastAsia"/>
          <w:lang w:eastAsia="zh-CN"/>
        </w:rPr>
        <w:t>：写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相较文献中常用基线方法，本文在同等数据上准确率更高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，别写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某某方法很差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最硬的做法</w:t>
      </w:r>
      <w:r>
        <w:rPr>
          <w:rFonts w:ascii="Microsoft YaHei" w:eastAsia="Microsoft YaHei" w:hAnsi="Microsoft YaHei" w:cs="Microsoft YaHei" w:hint="eastAsia"/>
          <w:lang w:eastAsia="zh-CN"/>
        </w:rPr>
        <w:t>：必要时在本文同一协议下</w:t>
      </w:r>
      <w:r>
        <w:rPr>
          <w:rFonts w:ascii="Microsoft YaHei" w:eastAsia="Microsoft YaHei" w:hAnsi="Microsoft YaHei" w:cs="Microsoft YaHei" w:hint="eastAsia"/>
          <w:b/>
          <w:lang w:eastAsia="zh-CN"/>
        </w:rPr>
        <w:t>自行复现</w:t>
      </w:r>
      <w:r>
        <w:t xml:space="preserve"> SVM / WDCNN / </w:t>
      </w:r>
      <w:r>
        <w:rPr>
          <w:rFonts w:ascii="Microsoft YaHei" w:eastAsia="Microsoft YaHei" w:hAnsi="Microsoft YaHei" w:cs="Microsoft YaHei" w:hint="eastAsia"/>
          <w:lang w:eastAsia="zh-CN"/>
        </w:rPr>
        <w:t>原版</w:t>
      </w:r>
      <w:r>
        <w:t xml:space="preserve"> Transformer </w:t>
      </w:r>
      <w:r>
        <w:rPr>
          <w:rFonts w:ascii="Microsoft YaHei" w:eastAsia="Microsoft YaHei" w:hAnsi="Microsoft YaHei" w:cs="Microsoft YaHei" w:hint="eastAsia"/>
          <w:lang w:eastAsia="zh-CN"/>
        </w:rPr>
        <w:t>基线，得到真</w:t>
      </w:r>
      <w:r>
        <w:t>·</w:t>
      </w:r>
      <w:r>
        <w:rPr>
          <w:rFonts w:ascii="Microsoft YaHei" w:eastAsia="Microsoft YaHei" w:hAnsi="Microsoft YaHei" w:cs="Microsoft YaHei" w:hint="eastAsia"/>
          <w:lang w:eastAsia="zh-CN"/>
        </w:rPr>
        <w:t>同口径数字（答辩加分项）。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D63"/>
          <w:sz w:val="28"/>
          <w:lang w:eastAsia="zh-CN"/>
        </w:rPr>
        <w:t>参考文献</w:t>
      </w:r>
      <w:r/>
    </w:p>
    <w:p>
      <w:pPr>
        <w:spacing w:line="384" w:lineRule="auto"/>
        <w:jc w:val="both"/>
      </w:pPr>
      <w:r>
        <w:rPr>
          <w:sz w:val="18"/>
        </w:rPr>
        <w:t>[1] Kibrete F., Woldemichael D. E., Gebremedhen H. S. Fault Diagnosis of Rotating Machines Based on Combination of One-Dimensional Convolutional Neural Network and Long Short-Term Memory in Variable Working Conditions. Journal of Engineering (Wiley), 2025. DOI: 10.1155/je/1670810</w:t>
        <w:br/>
      </w:r>
      <w:r>
        <w:rPr>
          <w:sz w:val="18"/>
        </w:rPr>
        <w:t>[2] Research on Equipment Fault Diagnosis Method Based on Multimodal Deep Fusion. Proc. 8th Int. Conf. on Computer Information Science and Artificial Intelligence (ACM CIISAI), 2025. DOI: 10.1145/3773365.3773555</w:t>
        <w:br/>
      </w:r>
      <w:r>
        <w:rPr>
          <w:sz w:val="18"/>
        </w:rPr>
        <w:t xml:space="preserve">[3]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基于改进注意力机制的</w:t>
      </w:r>
      <w:r>
        <w:rPr>
          <w:sz w:val="18"/>
        </w:rPr>
        <w:t xml:space="preserve"> CNN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的齿轮箱故障诊断</w:t>
      </w:r>
      <w:r>
        <w:rPr>
          <w:sz w:val="18"/>
        </w:rPr>
        <w:t xml:space="preserve">(IAMCNN). 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华东理工大学学报</w:t>
      </w:r>
      <w:r>
        <w:rPr>
          <w:sz w:val="18"/>
        </w:rPr>
        <w:t>(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自然科学版</w:t>
      </w:r>
      <w:r>
        <w:rPr>
          <w:sz w:val="18"/>
        </w:rPr>
        <w:t>), 2024. DOI: 10.14135/j.cnki.1006-3080.20231207002</w:t>
        <w:br/>
      </w:r>
      <w:r>
        <w:rPr>
          <w:sz w:val="18"/>
        </w:rPr>
        <w:t>[4] Fault Diagnosis of Gearbox Based on CNN and LSTM with Attention Mechanism. Highlights in Science, Engineering and Technology (AMMMP 2024), Vol. 93, 2024.</w:t>
        <w:br/>
      </w:r>
      <w:r>
        <w:rPr>
          <w:sz w:val="18"/>
        </w:rPr>
        <w:t>[5] Zhang L. et al. Fault-Diagnosis Method for Rotating Machinery Based on SVMD Entropy and Machine Learning. Algorithms, 2023, 16(6): 304.</w:t>
        <w:br/>
      </w:r>
      <w:r>
        <w:rPr>
          <w:sz w:val="18"/>
        </w:rPr>
        <w:t>[6] Gearbox Fault Diagnosis Method in Noisy Environments Based on Deep Residual Shrinkage Networks (CA-DRSN). Scientific Reports, 2024. PMID: 39066029</w:t>
        <w:br/>
      </w:r>
      <w:r>
        <w:rPr>
          <w:sz w:val="18"/>
        </w:rPr>
        <w:t>[7] FE-MCFormer / FEMSN: Frequency-Enhanced Multiscale Network..., arXiv:2505.06285, 2025.</w:t>
        <w:br/>
      </w:r>
      <w:r>
        <w:rPr>
          <w:sz w:val="18"/>
        </w:rPr>
        <w:t>[8] Bearing Fault Diagnosis Based on Multiscale Lightweight Convolutional Neural Network (MGE-ResNet). Processes, 2025, 13(4): 1239.</w:t>
        <w:br/>
      </w:r>
      <w:r>
        <w:rPr>
          <w:sz w:val="18"/>
        </w:rPr>
        <w:t>[9] Deep Learning-Based Fault Diagnosis of Electromechanical Systems in Synchronous Motors (MSRC+CBAM). IIETA, 2025.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/>
      <w:jc w:val="both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B3D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D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150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