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eastAsia="Microsoft YaHei" w:hAnsi="Microsoft YaHei" w:cs="Microsoft YaHei" w:hint="eastAsia"/>
          <w:color w:val="1A3C6E"/>
          <w:sz w:val="40"/>
          <w:lang w:eastAsia="zh-CN"/>
        </w:rPr>
        <w:t>老师要求的补充数据汇总</w:t>
      </w:r>
      <w:r/>
    </w:p>
    <w:p>
      <w:pPr/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对应导师提出的七类补充数据，全部基于</w:t>
      </w:r>
      <w:r>
        <w:rPr>
          <w:color w:val="555555"/>
          <w:sz w:val="19"/>
        </w:rPr>
        <w:t xml:space="preserve"> SEU DDS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齿轮箱数据集、本方法（幅值符号化</w:t>
      </w:r>
      <w:r>
        <w:rPr>
          <w:color w:val="555555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多时间步转移矩阵</w:t>
      </w:r>
      <w:r>
        <w:rPr>
          <w:color w:val="555555"/>
          <w:sz w:val="19"/>
        </w:rPr>
        <w:t xml:space="preserve"> → CNN/GCN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）实测整理。整理日期：</w:t>
      </w:r>
      <w:r>
        <w:rPr>
          <w:color w:val="555555"/>
          <w:sz w:val="19"/>
        </w:rPr>
        <w:t>2026-10-01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3C6E"/>
          <w:sz w:val="30"/>
          <w:lang w:eastAsia="zh-CN"/>
        </w:rPr>
        <w:t>一、效率硬指标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模型输入统一为 </w:t>
      </w:r>
      <w:r>
        <w:rPr>
          <w:rFonts w:ascii="Microsoft YaHei" w:eastAsia="Microsoft YaHei" w:hAnsi="Microsoft YaHei" w:cs="Microsoft YaHei" w:hint="eastAsia"/>
          <w:b/>
          <w:lang w:eastAsia="zh-CN"/>
        </w:rPr>
        <w:t>6×6 转移矩阵、21 通道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3 </w:t>
      </w:r>
      <w:r>
        <w:rPr>
          <w:rFonts w:ascii="Microsoft YaHei" w:eastAsia="Microsoft YaHei" w:hAnsi="Microsoft YaHei" w:cs="Microsoft YaHei" w:hint="eastAsia"/>
          <w:lang w:eastAsia="zh-CN"/>
        </w:rPr>
        <w:t>振动方向</w:t>
      </w:r>
      <w:r>
        <w:t xml:space="preserve"> × 7 </w:t>
      </w:r>
      <w:r>
        <w:rPr>
          <w:rFonts w:ascii="Microsoft YaHei" w:eastAsia="Microsoft YaHei" w:hAnsi="Microsoft YaHei" w:cs="Microsoft YaHei" w:hint="eastAsia"/>
          <w:lang w:eastAsia="zh-CN"/>
        </w:rPr>
        <w:t>时间步），在</w:t>
      </w:r>
      <w:r>
        <w:t xml:space="preserve"> RTX 4060 Laptop GPU </w:t>
      </w:r>
      <w:r>
        <w:rPr>
          <w:rFonts w:ascii="Microsoft YaHei" w:eastAsia="Microsoft YaHei" w:hAnsi="Microsoft YaHei" w:cs="Microsoft YaHei" w:hint="eastAsia"/>
          <w:lang w:eastAsia="zh-CN"/>
        </w:rPr>
        <w:t>上实测：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指标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CNN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GCN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参数量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25,093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18,549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模型大小（单精度）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104 KB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79 KB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计算量（</w:t>
            </w:r>
            <w:r>
              <w:t xml:space="preserve"> </w:t>
            </w:r>
            <w:r>
              <w:t>FLOPs/</w:t>
            </w:r>
            <w:r>
              <w:t xml:space="preserve"> </w:t>
            </w:r>
            <w:r>
              <w:t>样本）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383,936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557,760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单步训练耗时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1.5 ms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3.3 ms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推理吞吐量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3.7~5.3 </w:t>
            </w:r>
            <w:r>
              <w:t xml:space="preserve"> </w:t>
            </w:r>
            <w:r>
              <w:t>万样本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秒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2.5 </w:t>
            </w:r>
            <w:r>
              <w:t xml:space="preserve"> </w:t>
            </w:r>
            <w:r>
              <w:t>万样本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秒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单</w:t>
            </w:r>
            <w:r>
              <w:t xml:space="preserve"> </w:t>
            </w:r>
            <w:r>
              <w:t xml:space="preserve"> batch </w:t>
            </w:r>
            <w:r>
              <w:t xml:space="preserve"> </w:t>
            </w:r>
            <w:r>
              <w:t>推理延迟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0.6~0.9 ms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1.3 ms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峰值显存占用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18.2 MB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20.8 MB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完整训练一轮（</w:t>
            </w:r>
            <w:r>
              <w:t xml:space="preserve"> </w:t>
            </w:r>
            <w:r>
              <w:t xml:space="preserve">≈4600 </w:t>
            </w:r>
            <w:r>
              <w:t xml:space="preserve"> </w:t>
            </w:r>
            <w:r>
              <w:t>样本）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10~48 </w:t>
            </w:r>
            <w:r>
              <w:t xml:space="preserve"> </w:t>
            </w:r>
            <w:r>
              <w:t>秒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同量级</w:t>
            </w:r>
          </w:p>
        </w:tc>
      </w:tr>
    </w:tbl>
    <w:p>
      <w:r/>
    </w:p>
    <w:p>
      <w:pPr>
        <w:spacing w:before="180" w:after="180"/>
        <w:pBdr>
          <w:left w:val="single" w:sz="24" w:space="0" w:color="1A3C6E"/>
        </w:pBdr>
        <w:shd w:val="clear" w:color="auto" w:fill="F7F9FC"/>
      </w:pPr>
      <w:r>
        <w:rPr>
          <w:rFonts w:ascii="Microsoft YaHei" w:eastAsia="Microsoft YaHei" w:hAnsi="Microsoft YaHei" w:cs="Microsoft YaHei" w:hint="eastAsia"/>
          <w:b/>
          <w:color w:val="333333"/>
          <w:sz w:val="20"/>
          <w:lang w:eastAsia="zh-CN"/>
        </w:rPr>
        <w:t>能耗说明</w:t>
      </w:r>
      <w:r>
        <w:rPr>
          <w:rFonts w:ascii="Microsoft YaHei" w:eastAsia="Microsoft YaHei" w:hAnsi="Microsoft YaHei" w:cs="Microsoft YaHei" w:hint="eastAsia"/>
          <w:color w:val="333333"/>
          <w:sz w:val="20"/>
          <w:lang w:eastAsia="zh-CN"/>
        </w:rPr>
        <w:t>：未接功率计，由「极低 FLOPs（≈38~56 万）+ 极低显存（≈20 MB）+ 极短训练/推理时间」间接推断为</w:t>
      </w:r>
      <w:r>
        <w:rPr>
          <w:rFonts w:ascii="Microsoft YaHei" w:eastAsia="Microsoft YaHei" w:hAnsi="Microsoft YaHei" w:cs="Microsoft YaHei" w:hint="eastAsia"/>
          <w:b/>
          <w:color w:val="333333"/>
          <w:sz w:val="20"/>
          <w:lang w:eastAsia="zh-CN"/>
        </w:rPr>
        <w:t>低能耗</w:t>
      </w:r>
      <w:r>
        <w:rPr>
          <w:rFonts w:ascii="Microsoft YaHei" w:eastAsia="Microsoft YaHei" w:hAnsi="Microsoft YaHei" w:cs="Microsoft YaHei" w:hint="eastAsia"/>
          <w:color w:val="333333"/>
          <w:sz w:val="20"/>
          <w:lang w:eastAsia="zh-CN"/>
        </w:rPr>
        <w:t>；相比文献里的 Transformer 和 ResNeXt50 / 多模态大网络，本方法算力和能耗低 2~4 个数量级。</w:t>
      </w:r>
      <w:r/>
    </w:p>
    <w:p>
      <w:pPr>
        <w:jc w:val="center"/>
      </w:pPr>
      <w:r>
        <w:rPr>
          <w:color w:val="666666"/>
          <w:sz w:val="18"/>
        </w:rPr>
        <w:drawing>
          <wp:inline xmlns:a="http://schemas.openxmlformats.org/drawingml/2006/main" xmlns:pic="http://schemas.openxmlformats.org/drawingml/2006/picture">
            <wp:extent cx="82296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图1 模型轻量化硬指标（参数量与计算量）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3C6E"/>
          <w:sz w:val="30"/>
          <w:lang w:eastAsia="zh-CN"/>
        </w:rPr>
        <w:t>二、每类指标 + 多种子统计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C5AA0"/>
          <w:sz w:val="24"/>
          <w:lang w:eastAsia="zh-CN"/>
        </w:rPr>
        <w:t>2.1 多随机种子（42/43/44）验证集准确率均值 ± 标准差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任务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模型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工况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 xml:space="preserve">val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均值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 xml:space="preserve">val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标准差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轴承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CNN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20-0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1.0000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0.0000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轴承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CNN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30-2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1.0000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0.0000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轴承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GCN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20-0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1.0000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0.0000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轴承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GCN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30-2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1.0000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0.0000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齿轮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CNN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20-0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0.9928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0.0022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齿轮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CNN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30-2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0.9884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0.0017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齿轮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GCN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20-0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0.9942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0.0021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齿轮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GCN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30-2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0.9863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0.0035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结论：三种子标准差全部</w:t>
      </w:r>
      <w:r>
        <w:rPr>
          <w:color w:val="555555"/>
          <w:sz w:val="19"/>
        </w:rPr>
        <w:t xml:space="preserve"> ≤ 0.0035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，结果对随机种子不敏感、可复现。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C5AA0"/>
          <w:sz w:val="24"/>
          <w:lang w:eastAsia="zh-CN"/>
        </w:rPr>
        <w:t>2.2 每类敏感性 / 特异性 / 精确率（最终密封测试集，70/20/10，种子 42，单次评估）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轴承任务各类几乎全部</w:t>
      </w:r>
      <w:r>
        <w:t xml:space="preserve"> 1.0</w:t>
      </w:r>
      <w:r>
        <w:rPr>
          <w:rFonts w:ascii="Microsoft YaHei" w:eastAsia="Microsoft YaHei" w:hAnsi="Microsoft YaHei" w:cs="Microsoft YaHei" w:hint="eastAsia"/>
          <w:lang w:eastAsia="zh-CN"/>
        </w:rPr>
        <w:t>。齿轮的短板集中在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Miss（缺齿）与 Surface（齿面磨损）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齿轮工况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类别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敏感性（召回）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特异性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精确率</w:t>
            </w:r>
          </w:p>
        </w:tc>
      </w:tr>
      <w:tr>
        <w:tc>
          <w:tcPr>
            <w:tcW w:type="dxa" w:w="1728"/>
            <w:vMerge w:val="restart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30-2 (CNN)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Health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1.000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1.000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1.000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Chipped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1.000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1.000</w:t>
            </w:r>
          </w:p>
        </w:tc>
        <w:tc>
          <w:tcPr>
            <w:tcW w:type="dxa" w:w="1728"/>
            <w:tcBorders>
              <w:top w:val="single" w:sz="6.0" w:color="BBBBBB"/>
              <w:right w:val="single" w:sz="6.0" w:color="BBBBBB"/>
              <w:bottom w:val="single" w:sz="6.0" w:color="BBBBBB"/>
              <w:left w:val="single" w:sz="6.0" w:color="BBBBBB"/>
            </w:tcBorders>
          </w:tcPr>
          <w:p>
            <w:pPr>
              <w:jc w:val="center"/>
            </w:pPr>
            <w:r>
              <w:t>1.000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Miss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0.969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0.990</w:t>
            </w:r>
          </w:p>
        </w:tc>
        <w:tc>
          <w:tcPr>
            <w:tcW w:type="dxa" w:w="1728"/>
            <w:tcBorders>
              <w:top w:val="single" w:sz="6.0" w:color="BBBBBB"/>
              <w:right w:val="single" w:sz="6.0" w:color="BBBBBB"/>
              <w:bottom w:val="single" w:sz="6.0" w:color="BBBBBB"/>
              <w:left w:val="single" w:sz="6.0" w:color="BBBBBB"/>
            </w:tcBorders>
          </w:tcPr>
          <w:p>
            <w:pPr>
              <w:jc w:val="center"/>
            </w:pPr>
            <w:r>
              <w:t>0.962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Root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0.985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0.998</w:t>
            </w:r>
          </w:p>
        </w:tc>
        <w:tc>
          <w:tcPr>
            <w:tcW w:type="dxa" w:w="1728"/>
            <w:tcBorders>
              <w:top w:val="single" w:sz="6.0" w:color="BBBBBB"/>
              <w:right w:val="single" w:sz="6.0" w:color="BBBBBB"/>
              <w:bottom w:val="single" w:sz="6.0" w:color="BBBBBB"/>
              <w:left w:val="single" w:sz="6.0" w:color="BBBBBB"/>
            </w:tcBorders>
          </w:tcPr>
          <w:p>
            <w:pPr>
              <w:jc w:val="center"/>
            </w:pPr>
            <w:r>
              <w:t>0.992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Surface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0.954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0.989</w:t>
            </w:r>
          </w:p>
        </w:tc>
        <w:tc>
          <w:tcPr>
            <w:tcW w:type="dxa" w:w="1728"/>
            <w:tcBorders>
              <w:top w:val="single" w:sz="6.0" w:color="BBBBBB"/>
              <w:right w:val="single" w:sz="6.0" w:color="BBBBBB"/>
              <w:bottom w:val="single" w:sz="6.0" w:color="BBBBBB"/>
              <w:left w:val="single" w:sz="6.0" w:color="BBBBBB"/>
            </w:tcBorders>
          </w:tcPr>
          <w:p>
            <w:pPr>
              <w:jc w:val="center"/>
            </w:pPr>
            <w:r>
              <w:t>0.954</w:t>
            </w:r>
          </w:p>
        </w:tc>
      </w:tr>
      <w:tr>
        <w:tc>
          <w:tcPr>
            <w:tcW w:type="dxa" w:w="1728"/>
            <w:vMerge w:val="restart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20-0 (CNN)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Miss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1.000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0.994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0.977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Surface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1.000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1.000</w:t>
            </w:r>
          </w:p>
        </w:tc>
        <w:tc>
          <w:tcPr>
            <w:tcW w:type="dxa" w:w="1728"/>
            <w:tcBorders>
              <w:top w:val="single" w:sz="6.0" w:color="BBBBBB"/>
              <w:right w:val="single" w:sz="6.0" w:color="BBBBBB"/>
              <w:bottom w:val="single" w:sz="6.0" w:color="BBBBBB"/>
              <w:left w:val="single" w:sz="6.0" w:color="BBBBBB"/>
            </w:tcBorders>
          </w:tcPr>
          <w:p>
            <w:pPr>
              <w:jc w:val="center"/>
            </w:pPr>
            <w:r>
              <w:t>1.000</w:t>
            </w:r>
          </w:p>
        </w:tc>
      </w:tr>
    </w:tbl>
    <w:p>
      <w:r/>
    </w:p>
    <w:p>
      <w:pPr>
        <w:spacing w:before="180" w:after="180"/>
        <w:pBdr>
          <w:left w:val="single" w:sz="24" w:space="0" w:color="1A3C6E"/>
        </w:pBdr>
        <w:shd w:val="clear" w:color="auto" w:fill="F7F9FC"/>
      </w:pPr>
      <w:r>
        <w:rPr>
          <w:rFonts w:ascii="Microsoft YaHei" w:eastAsia="Microsoft YaHei" w:hAnsi="Microsoft YaHei" w:cs="Microsoft YaHei" w:hint="eastAsia"/>
          <w:color w:val="333333"/>
          <w:sz w:val="20"/>
          <w:lang w:eastAsia="zh-CN"/>
        </w:rPr>
        <w:t>唯一的弱项是齿轮 30-2 的 Miss 与 Surface 互相混淆（敏感性 0.954~0.969），其余类别敏感性/特异性/精确率均 ≥ 0.98；轴承五类全为 1.0。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3C6E"/>
          <w:sz w:val="30"/>
          <w:lang w:eastAsia="zh-CN"/>
        </w:rPr>
        <w:t>三、同协议复现（文献1 与 文献5 协议下各跑一遍）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C5AA0"/>
          <w:sz w:val="24"/>
          <w:lang w:eastAsia="zh-CN"/>
        </w:rPr>
        <w:t>3.1 文献1（改进 Transformer，Guan 等，ACM 2023）协议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协议：齿轮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类、</w:t>
      </w:r>
      <w:r>
        <w:t xml:space="preserve">20-0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30-2 </w:t>
      </w:r>
      <w:r>
        <w:rPr>
          <w:rFonts w:ascii="Microsoft YaHei" w:eastAsia="Microsoft YaHei" w:hAnsi="Microsoft YaHei" w:cs="Microsoft YaHei" w:hint="eastAsia"/>
          <w:lang w:eastAsia="zh-CN"/>
        </w:rPr>
        <w:t>两工况合并、</w:t>
      </w:r>
      <w:r>
        <w:t xml:space="preserve">80% </w:t>
      </w:r>
      <w:r>
        <w:rPr>
          <w:rFonts w:ascii="Microsoft YaHei" w:eastAsia="Microsoft YaHei" w:hAnsi="Microsoft YaHei" w:cs="Microsoft YaHei" w:hint="eastAsia"/>
          <w:lang w:eastAsia="zh-CN"/>
        </w:rPr>
        <w:t>训练</w:t>
      </w:r>
      <w:r>
        <w:t xml:space="preserve"> / 20% </w:t>
      </w:r>
      <w:r>
        <w:rPr>
          <w:rFonts w:ascii="Microsoft YaHei" w:eastAsia="Microsoft YaHei" w:hAnsi="Microsoft YaHei" w:cs="Microsoft YaHei" w:hint="eastAsia"/>
          <w:lang w:eastAsia="zh-CN"/>
        </w:rPr>
        <w:t>测试、</w:t>
      </w:r>
      <w:r>
        <w:t xml:space="preserve">SNR=10 dB </w:t>
      </w:r>
      <w:r>
        <w:rPr>
          <w:rFonts w:ascii="Microsoft YaHei" w:eastAsia="Microsoft YaHei" w:hAnsi="Microsoft YaHei" w:cs="Microsoft YaHei" w:hint="eastAsia"/>
          <w:lang w:eastAsia="zh-CN"/>
        </w:rPr>
        <w:t>高斯噪声。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方法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协议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测试准确率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文献</w:t>
            </w:r>
            <w:r>
              <w:t xml:space="preserve"> </w:t>
            </w:r>
            <w:r>
              <w:t xml:space="preserve">1 </w:t>
            </w:r>
            <w:r>
              <w:t xml:space="preserve"> </w:t>
            </w:r>
            <w:r>
              <w:t>改进</w:t>
            </w:r>
            <w:r>
              <w:t xml:space="preserve"> </w:t>
            </w:r>
            <w:r>
              <w:t xml:space="preserve"> Transformer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同协议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99.4%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本方法（</w:t>
            </w:r>
            <w:r>
              <w:t xml:space="preserve"> </w:t>
            </w:r>
            <w:r>
              <w:t>CNN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同协议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96.5%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两工况合并成同一</w:t>
      </w:r>
      <w:r>
        <w:rPr>
          <w:color w:val="555555"/>
          <w:sz w:val="19"/>
        </w:rPr>
        <w:t xml:space="preserve"> 5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类是更难的跨工况任务；我们</w:t>
      </w:r>
      <w:r>
        <w:rPr>
          <w:color w:val="555555"/>
          <w:sz w:val="19"/>
        </w:rPr>
        <w:t xml:space="preserve"> 96.5%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与文献</w:t>
      </w:r>
      <w:r>
        <w:rPr>
          <w:color w:val="555555"/>
          <w:sz w:val="19"/>
        </w:rPr>
        <w:t xml:space="preserve">1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的</w:t>
      </w:r>
      <w:r>
        <w:rPr>
          <w:color w:val="555555"/>
          <w:sz w:val="19"/>
        </w:rPr>
        <w:t xml:space="preserve"> 99.4%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相差约</w:t>
      </w:r>
      <w:r>
        <w:rPr>
          <w:color w:val="555555"/>
          <w:sz w:val="19"/>
        </w:rPr>
        <w:t xml:space="preserve"> 3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个百分点，但参数量差约</w:t>
      </w:r>
      <w:r>
        <w:rPr>
          <w:color w:val="555555"/>
          <w:sz w:val="19"/>
        </w:rPr>
        <w:t xml:space="preserve"> 3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个数量级（</w:t>
      </w:r>
      <w:r>
        <w:rPr>
          <w:color w:val="555555"/>
          <w:sz w:val="19"/>
        </w:rPr>
        <w:t xml:space="preserve">2.5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万</w:t>
      </w:r>
      <w:r>
        <w:rPr>
          <w:color w:val="555555"/>
          <w:sz w:val="19"/>
        </w:rPr>
        <w:t xml:space="preserve"> vs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数百万）。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C5AA0"/>
          <w:sz w:val="24"/>
          <w:lang w:eastAsia="zh-CN"/>
        </w:rPr>
        <w:t>3.2 文献5（MSRC+CBAM，Zhang 等，IIETA 2026）协议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文献</w:t>
      </w:r>
      <w:r>
        <w:t xml:space="preserve">5 </w:t>
      </w:r>
      <w:r>
        <w:rPr>
          <w:rFonts w:ascii="Microsoft YaHei" w:eastAsia="Microsoft YaHei" w:hAnsi="Microsoft YaHei" w:cs="Microsoft YaHei" w:hint="eastAsia"/>
          <w:lang w:eastAsia="zh-CN"/>
        </w:rPr>
        <w:t>与我们一样做轴承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齿轮、分工况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个任务（</w:t>
      </w:r>
      <w:r>
        <w:t>G1=20-0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G2=30-2</w:t>
      </w:r>
      <w:r>
        <w:rPr>
          <w:rFonts w:ascii="Microsoft YaHei" w:eastAsia="Microsoft YaHei" w:hAnsi="Microsoft YaHei" w:cs="Microsoft YaHei" w:hint="eastAsia"/>
          <w:lang w:eastAsia="zh-CN"/>
        </w:rPr>
        <w:t>）。按</w:t>
      </w:r>
      <w:r>
        <w:t xml:space="preserve"> 60% </w:t>
      </w:r>
      <w:r>
        <w:rPr>
          <w:rFonts w:ascii="Microsoft YaHei" w:eastAsia="Microsoft YaHei" w:hAnsi="Microsoft YaHei" w:cs="Microsoft YaHei" w:hint="eastAsia"/>
          <w:lang w:eastAsia="zh-CN"/>
        </w:rPr>
        <w:t>训练</w:t>
      </w:r>
      <w:r>
        <w:t xml:space="preserve"> / 40% </w:t>
      </w:r>
      <w:r>
        <w:rPr>
          <w:rFonts w:ascii="Microsoft YaHei" w:eastAsia="Microsoft YaHei" w:hAnsi="Microsoft YaHei" w:cs="Microsoft YaHei" w:hint="eastAsia"/>
          <w:lang w:eastAsia="zh-CN"/>
        </w:rPr>
        <w:t>测试复现：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任务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工况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本方法（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60%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训练）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文献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5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报告值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轴承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G1(20-0)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99.92%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99.4%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轴承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G2(30-2)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100%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99.6%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齿轮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G1(20-0)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98.55%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99.8%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齿轮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G2(30-2)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96.18%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99.4%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轴承两项持平甚至略高；齿轮两项略低（</w:t>
      </w:r>
      <w:r>
        <w:rPr>
          <w:color w:val="555555"/>
          <w:sz w:val="19"/>
        </w:rPr>
        <w:t>96.2~98.6% vs 99.4~99.8%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），差距</w:t>
      </w:r>
      <w:r>
        <w:rPr>
          <w:color w:val="555555"/>
          <w:sz w:val="19"/>
        </w:rPr>
        <w:t xml:space="preserve"> 1~3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个百分点，属正常（</w:t>
      </w:r>
      <w:r>
        <w:rPr>
          <w:color w:val="555555"/>
          <w:sz w:val="19"/>
        </w:rPr>
        <w:t xml:space="preserve">60%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训练数据更少）。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3C6E"/>
          <w:sz w:val="30"/>
          <w:lang w:eastAsia="zh-CN"/>
        </w:rPr>
        <w:t>四、参数消融（在最难工况「齿轮 30-2」上，仅验证集）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C5AA0"/>
          <w:sz w:val="24"/>
          <w:lang w:eastAsia="zh-CN"/>
        </w:rPr>
        <w:t>4.1 状态数（symbol_bins，步长固定 7）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状态数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4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6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8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val </w:t>
            </w:r>
            <w:r>
              <w:t xml:space="preserve"> </w:t>
            </w:r>
            <w:r>
              <w:t>准确率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0.9388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0.9408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0.9191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0.8511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C5AA0"/>
          <w:sz w:val="24"/>
          <w:lang w:eastAsia="zh-CN"/>
        </w:rPr>
        <w:t>4.2 步长（transition_steps，状态数固定 6）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步长</w:t>
            </w:r>
          </w:p>
        </w:tc>
        <w:tc>
          <w:tcPr>
            <w:tcW w:type="dxa" w:w="144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  <w:tc>
          <w:tcPr>
            <w:tcW w:type="dxa" w:w="144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3</w:t>
            </w:r>
          </w:p>
        </w:tc>
        <w:tc>
          <w:tcPr>
            <w:tcW w:type="dxa" w:w="144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5</w:t>
            </w:r>
          </w:p>
        </w:tc>
        <w:tc>
          <w:tcPr>
            <w:tcW w:type="dxa" w:w="144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7</w:t>
            </w:r>
          </w:p>
        </w:tc>
        <w:tc>
          <w:tcPr>
            <w:tcW w:type="dxa" w:w="144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9</w:t>
            </w:r>
          </w:p>
        </w:tc>
      </w:tr>
      <w:tr>
        <w:tc>
          <w:tcPr>
            <w:tcW w:type="dxa" w:w="144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val </w:t>
            </w:r>
            <w:r>
              <w:t xml:space="preserve"> </w:t>
            </w:r>
            <w:r>
              <w:t>准确率</w:t>
            </w:r>
          </w:p>
        </w:tc>
        <w:tc>
          <w:tcPr>
            <w:tcW w:type="dxa" w:w="144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0.6954</w:t>
            </w:r>
          </w:p>
        </w:tc>
        <w:tc>
          <w:tcPr>
            <w:tcW w:type="dxa" w:w="144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0.8908</w:t>
            </w:r>
          </w:p>
        </w:tc>
        <w:tc>
          <w:tcPr>
            <w:tcW w:type="dxa" w:w="144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0.9122</w:t>
            </w:r>
          </w:p>
        </w:tc>
        <w:tc>
          <w:tcPr>
            <w:tcW w:type="dxa" w:w="144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0.9408</w:t>
            </w:r>
          </w:p>
        </w:tc>
        <w:tc>
          <w:tcPr>
            <w:tcW w:type="dxa" w:w="144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0.9618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C5AA0"/>
          <w:sz w:val="24"/>
          <w:lang w:eastAsia="zh-CN"/>
        </w:rPr>
        <w:t>4.3 窗口长度 / 跳步（window length / stride，步长 7、状态 6）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窗口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w400/L800(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重叠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)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w800/L800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w800/L1600(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长窗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+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重叠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val </w:t>
            </w:r>
            <w:r>
              <w:t xml:space="preserve"> </w:t>
            </w:r>
            <w:r>
              <w:t>准确率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0.9536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0.9408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0.9867</w:t>
            </w:r>
          </w:p>
        </w:tc>
      </w:tr>
    </w:tbl>
    <w:p>
      <w:r/>
    </w:p>
    <w:p>
      <w:pPr>
        <w:spacing w:before="180" w:after="180"/>
        <w:pBdr>
          <w:left w:val="single" w:sz="24" w:space="0" w:color="1A3C6E"/>
        </w:pBdr>
        <w:shd w:val="clear" w:color="auto" w:fill="F7F9FC"/>
      </w:pPr>
      <w:r>
        <w:rPr>
          <w:rFonts w:ascii="Microsoft YaHei" w:eastAsia="Microsoft YaHei" w:hAnsi="Microsoft YaHei" w:cs="Microsoft YaHei" w:hint="eastAsia"/>
          <w:color w:val="333333"/>
          <w:sz w:val="20"/>
          <w:lang w:eastAsia="zh-CN"/>
        </w:rPr>
        <w:t>结论：6 状态最优（10 状态退化）；步长越多越准；长窗 1600 + 50% 重叠是关键（击穿 Miss/Surface 混淆）。最终统一配置 zq_s7_w1600_over（z-score + 等频分箱、6 状态、步长 1~7、窗长 1600/步长 800），8 组合全部 ≥ 0.95。</w:t>
      </w:r>
      <w:r/>
    </w:p>
    <w:p>
      <w:pPr>
        <w:jc w:val="center"/>
      </w:pPr>
      <w:r>
        <w:rPr>
          <w:color w:val="666666"/>
          <w:sz w:val="18"/>
        </w:rPr>
        <w:drawing>
          <wp:inline xmlns:a="http://schemas.openxmlformats.org/drawingml/2006/main" xmlns:pic="http://schemas.openxmlformats.org/drawingml/2006/picture">
            <wp:extent cx="118872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图2 齿轮 30-2 单变量消融（状态数 / 步长 / 窗口）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3C6E"/>
          <w:sz w:val="30"/>
          <w:lang w:eastAsia="zh-CN"/>
        </w:rPr>
        <w:t>五、噪声鲁棒性（SNR −4 ~ +10 dB）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采用与文献</w:t>
      </w:r>
      <w:r>
        <w:t xml:space="preserve">1 </w:t>
      </w:r>
      <w:r>
        <w:rPr>
          <w:rFonts w:ascii="Microsoft YaHei" w:eastAsia="Microsoft YaHei" w:hAnsi="Microsoft YaHei" w:cs="Microsoft YaHei" w:hint="eastAsia"/>
          <w:lang w:eastAsia="zh-CN"/>
        </w:rPr>
        <w:t>相同的「加噪训练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加噪测试」协议。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SNR(dB)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轴承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20-0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轴承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30-2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齿轮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20-0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齿轮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30-2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−4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0.9569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0.9169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0.6708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0.4692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−2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0.9846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0.9615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0.7785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0.5985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0.9923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0.9708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0.8354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0.7338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+2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0.9954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0.9938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0.9138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0.7954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+4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0.9923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0.9969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0.9523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0.8754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+6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0.9969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0.9954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0.9615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0.9077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+8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0.9969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0.9938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0.9754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0.9338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+10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0.9985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0.9969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0.9862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0.9723</w:t>
            </w:r>
          </w:p>
        </w:tc>
      </w:tr>
    </w:tbl>
    <w:p>
      <w:r/>
    </w:p>
    <w:p>
      <w:pPr>
        <w:spacing w:before="180" w:after="180"/>
        <w:pBdr>
          <w:left w:val="single" w:sz="24" w:space="0" w:color="1A3C6E"/>
        </w:pBdr>
        <w:shd w:val="clear" w:color="auto" w:fill="F7F9FC"/>
      </w:pPr>
      <w:r>
        <w:rPr>
          <w:rFonts w:ascii="Microsoft YaHei" w:eastAsia="Microsoft YaHei" w:hAnsi="Microsoft YaHei" w:cs="Microsoft YaHei" w:hint="eastAsia"/>
          <w:color w:val="333333"/>
          <w:sz w:val="20"/>
          <w:lang w:eastAsia="zh-CN"/>
        </w:rPr>
        <w:t>SNR ≥ 6 dB 时四任务全部 ≥ 0.90；SNR = 10 dB 时轴承 ≈ 99.7~99.9%、齿轮 ≈ 97.2~98.6%，与文献1 在 SNR=10 的 99.4% 同量级。强噪声（SNR≤0）下齿轮退化较快，是幅值符号化对噪声敏感的诚实短板。</w:t>
      </w:r>
      <w:r/>
    </w:p>
    <w:p>
      <w:pPr>
        <w:jc w:val="center"/>
      </w:pPr>
      <w:r>
        <w:rPr>
          <w:color w:val="666666"/>
          <w:sz w:val="18"/>
        </w:rPr>
        <w:drawing>
          <wp:inline xmlns:a="http://schemas.openxmlformats.org/drawingml/2006/main" xmlns:pic="http://schemas.openxmlformats.org/drawingml/2006/picture">
            <wp:extent cx="64008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图3 噪声鲁棒性曲线（SNR −4 ~ +10 dB，加噪训练+加噪测试）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3C6E"/>
          <w:sz w:val="30"/>
          <w:lang w:eastAsia="zh-CN"/>
        </w:rPr>
        <w:t>六、可解释性（各类平均转移矩阵 + 差值热图）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从模型实际输入的表征（</w:t>
      </w:r>
      <w:r>
        <w:t xml:space="preserve">21 </w:t>
      </w:r>
      <w:r>
        <w:rPr>
          <w:rFonts w:ascii="Microsoft YaHei" w:eastAsia="Microsoft YaHei" w:hAnsi="Microsoft YaHei" w:cs="Microsoft YaHei" w:hint="eastAsia"/>
          <w:lang w:eastAsia="zh-CN"/>
        </w:rPr>
        <w:t>通道</w:t>
      </w:r>
      <w:r>
        <w:t xml:space="preserve"> × 6×6 </w:t>
      </w:r>
      <w:r>
        <w:rPr>
          <w:rFonts w:ascii="Microsoft YaHei" w:eastAsia="Microsoft YaHei" w:hAnsi="Microsoft YaHei" w:cs="Microsoft YaHei" w:hint="eastAsia"/>
          <w:lang w:eastAsia="zh-CN"/>
        </w:rPr>
        <w:t>转移矩阵）直接计算：每类平均转移矩阵（步长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类间差值热图（故障类</w:t>
      </w:r>
      <w:r>
        <w:t xml:space="preserve"> − </w:t>
      </w:r>
      <w:r>
        <w:rPr>
          <w:rFonts w:ascii="Microsoft YaHei" w:eastAsia="Microsoft YaHei" w:hAnsi="Microsoft YaHei" w:cs="Microsoft YaHei" w:hint="eastAsia"/>
          <w:lang w:eastAsia="zh-CN"/>
        </w:rPr>
        <w:t>健康类）。</w:t>
      </w:r>
      <w:r/>
    </w:p>
    <w:p>
      <w:pPr>
        <w:jc w:val="center"/>
      </w:pPr>
      <w:r>
        <w:rPr>
          <w:color w:val="666666"/>
          <w:sz w:val="18"/>
        </w:rPr>
        <w:drawing>
          <wp:inline xmlns:a="http://schemas.openxmlformats.org/drawingml/2006/main" xmlns:pic="http://schemas.openxmlformats.org/drawingml/2006/picture">
            <wp:extent cx="14630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图4 齿轮 30-2 各类平均转移矩阵（步长 1）</w:t>
      </w:r>
      <w:r/>
    </w:p>
    <w:p>
      <w:pPr>
        <w:jc w:val="center"/>
      </w:pPr>
      <w:r>
        <w:rPr>
          <w:color w:val="666666"/>
          <w:sz w:val="18"/>
        </w:rPr>
        <w:drawing>
          <wp:inline xmlns:a="http://schemas.openxmlformats.org/drawingml/2006/main" xmlns:pic="http://schemas.openxmlformats.org/drawingml/2006/picture">
            <wp:extent cx="1170432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图5 齿轮 30-2 类间差值热图（故障类 − 健康类）</w:t>
      </w:r>
      <w:r/>
    </w:p>
    <w:p>
      <w:pPr>
        <w:jc w:val="center"/>
      </w:pPr>
      <w:r>
        <w:rPr>
          <w:color w:val="666666"/>
          <w:sz w:val="18"/>
        </w:rPr>
        <w:drawing>
          <wp:inline xmlns:a="http://schemas.openxmlformats.org/drawingml/2006/main" xmlns:pic="http://schemas.openxmlformats.org/drawingml/2006/picture">
            <wp:extent cx="14630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图6 轴承 30-2 各类平均转移矩阵（步长 1）</w:t>
      </w:r>
      <w:r/>
    </w:p>
    <w:p>
      <w:pPr>
        <w:jc w:val="center"/>
      </w:pPr>
      <w:r>
        <w:rPr>
          <w:color w:val="666666"/>
          <w:sz w:val="18"/>
        </w:rPr>
        <w:drawing>
          <wp:inline xmlns:a="http://schemas.openxmlformats.org/drawingml/2006/main" xmlns:pic="http://schemas.openxmlformats.org/drawingml/2006/picture">
            <wp:extent cx="1170432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图7 轴承 30-2 类间差值热图（故障类 − 健康类）</w:t>
      </w:r>
      <w:r/>
    </w:p>
    <w:p>
      <w:pPr/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其余任务（</w:t>
      </w:r>
      <w:r>
        <w:rPr>
          <w:color w:val="555555"/>
          <w:sz w:val="19"/>
        </w:rPr>
        <w:t>20-0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）的热图在</w:t>
      </w:r>
      <w:r>
        <w:rPr>
          <w:color w:val="555555"/>
          <w:sz w:val="19"/>
        </w:rPr>
        <w:t xml:space="preserve"> doc/figures/seu/interpret/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下。数值矩阵见</w:t>
      </w:r>
      <w:r>
        <w:rPr>
          <w:color w:val="555555"/>
          <w:sz w:val="19"/>
        </w:rPr>
        <w:t xml:space="preserve"> teacher_extra/interpretability.json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A3C6E"/>
          <w:sz w:val="30"/>
          <w:lang w:eastAsia="zh-CN"/>
        </w:rPr>
        <w:t>七、文献全文级协议信息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文献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数据子集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工况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划分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训练测试量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加噪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3FB"/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精确结果</w:t>
            </w:r>
          </w:p>
        </w:tc>
      </w:tr>
      <w:tr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改进</w:t>
            </w:r>
            <w:r>
              <w:t xml:space="preserve"> </w:t>
            </w:r>
            <w:r>
              <w:t xml:space="preserve"> Transformer (Guan, ACM'23)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20-0+30-2 </w:t>
            </w:r>
            <w:r>
              <w:t xml:space="preserve"> </w:t>
            </w:r>
            <w:r>
              <w:t>合并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80/20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5 </w:t>
            </w:r>
            <w:r>
              <w:t xml:space="preserve"> </w:t>
            </w:r>
            <w:r>
              <w:t>折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SNR=10 dB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99.4%</w:t>
            </w:r>
          </w:p>
        </w:tc>
      </w:tr>
      <w:tr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5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MSRC+CBAM (Zhang, IIETA'26)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G1/G2 </w:t>
            </w:r>
            <w:r>
              <w:t xml:space="preserve"> </w:t>
            </w:r>
            <w:r>
              <w:t>分工况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未明（自采</w:t>
            </w:r>
            <w:r>
              <w:t xml:space="preserve"> </w:t>
            </w:r>
            <w:r>
              <w:t xml:space="preserve"> 80/10/10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CWRU 60%/30%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未披露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 xml:space="preserve"> 99.4~99.6%</w:t>
            </w:r>
            <w:r>
              <w:t xml:space="preserve"> </w:t>
            </w:r>
            <w:r>
              <w:t>、齿轮</w:t>
            </w:r>
            <w:r>
              <w:t xml:space="preserve"> </w:t>
            </w:r>
            <w:r>
              <w:t xml:space="preserve"> 99.4~99.8%</w:t>
            </w:r>
          </w:p>
        </w:tc>
      </w:tr>
      <w:tr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ICEEMDAN+SE-ResNeXt50 (Gao, ApplSci'24)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20-0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30-2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随机抽样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先降噪，</w:t>
            </w:r>
            <w:r>
              <w:t xml:space="preserve"> </w:t>
            </w:r>
            <w:r>
              <w:t>SNR −4~6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97.5%~100%</w:t>
            </w:r>
          </w:p>
        </w:tc>
      </w:tr>
      <w:tr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3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FE-MCFormer (arXiv'25)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类，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工况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8:2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4000/1000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SNR −10~−2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−2 dB 100%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−10 dB 95.51%</w:t>
            </w:r>
          </w:p>
        </w:tc>
      </w:tr>
      <w:tr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6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LECA-EfficientNetV2 (SciRep'23)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齿轮（仅</w:t>
            </w:r>
            <w:r>
              <w:t xml:space="preserve"> </w:t>
            </w:r>
            <w:r>
              <w:t xml:space="preserve"> 20-0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20-0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4:1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 xml:space="preserve"> 99.38%</w:t>
            </w:r>
            <w:r>
              <w:t xml:space="preserve"> </w:t>
            </w:r>
            <w:r>
              <w:t>、齿轮</w:t>
            </w:r>
            <w:r>
              <w:t xml:space="preserve"> </w:t>
            </w:r>
            <w:r>
              <w:t xml:space="preserve"> 99.75%</w:t>
            </w:r>
          </w:p>
        </w:tc>
      </w:tr>
      <w:tr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7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SCBM-Net (SciRep'25)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两工况合并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70:30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98.33%</w:t>
            </w:r>
          </w:p>
        </w:tc>
      </w:tr>
      <w:tr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8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SAGAN-IResNet (SciRep'25)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类，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工况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8:1:1</w:t>
            </w:r>
            <w:r>
              <w:t xml:space="preserve"> </w:t>
            </w:r>
            <w:r>
              <w:t>（重叠采样）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加噪</w:t>
            </w:r>
          </w:p>
        </w:tc>
        <w:tc>
          <w:tcPr>
            <w:tcW w:type="dxa" w:w="123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jc w:val="center"/>
              <w:spacing w:line="240" w:lineRule="auto" w:before="60" w:after="60"/>
            </w:pPr>
            <w:r>
              <w:t>SNR6 98.42%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SNR0 95%</w:t>
            </w:r>
          </w:p>
        </w:tc>
      </w:tr>
    </w:tbl>
    <w:p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20" w:after="0"/>
      <w:outlineLvl w:val="1"/>
    </w:pPr>
    <w:rPr>
      <w:rFonts w:asciiTheme="majorHAnsi" w:eastAsiaTheme="majorEastAsia" w:hAnsiTheme="majorHAnsi" w:cstheme="majorBidi"/>
      <w:b/>
      <w:bCs/>
      <w:color w:val="1A3C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70" w:after="0"/>
      <w:outlineLvl w:val="2"/>
    </w:pPr>
    <w:rPr>
      <w:rFonts w:asciiTheme="majorHAnsi" w:eastAsiaTheme="majorEastAsia" w:hAnsiTheme="majorHAnsi" w:cstheme="majorBidi"/>
      <w:b/>
      <w:bCs/>
      <w:color w:val="2C5A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