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36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参考文献对比</w:t>
      </w:r>
    </w:p>
    <w:p>
      <w:pPr>
        <w:pStyle w:val="Heading1"/>
        <w:spacing w:after="352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SEU 同源文献对比总结</w:t>
      </w:r>
    </w:p>
    <w:p>
      <w:pPr>
        <w:spacing w:after="600"/>
        <w:jc w:val="center"/>
      </w:pP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多时间步状态转移网络与</w:t>
      </w:r>
      <w:r>
        <w:rPr>
          <w:color w:val="616161"/>
          <w:sz w:val="24"/>
        </w:rPr>
        <w:t xml:space="preserve"> CNN / GCN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故障分类</w:t>
      </w:r>
      <w:r>
        <w:rPr>
          <w:color w:val="616161"/>
          <w:sz w:val="24"/>
        </w:rPr>
        <w:t xml:space="preserve"> ——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与同一数据集（东南大学</w:t>
      </w:r>
      <w:r>
        <w:rPr>
          <w:color w:val="616161"/>
          <w:sz w:val="24"/>
        </w:rPr>
        <w:t xml:space="preserve"> SEU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）公开文献的对比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东南大学</w:t>
      </w:r>
      <w:r>
        <w:rPr>
          <w:color w:val="616161"/>
          <w:sz w:val="18"/>
        </w:rPr>
        <w:t xml:space="preserve"> DDS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齿轮箱</w:t>
      </w:r>
      <w:r>
        <w:rPr>
          <w:color w:val="616161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轴承与齿轮五分类</w:t>
      </w:r>
      <w:r>
        <w:rPr>
          <w:color w:val="61616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｜</w:t>
      </w:r>
      <w:r>
        <w:rPr>
          <w:color w:val="616161"/>
          <w:sz w:val="18"/>
        </w:rPr>
        <w:t xml:space="preserve"> 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  <w:spacing w:before="96" w:after="19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执行摘要</w:t>
      </w:r>
    </w:p>
    <w:p>
      <w:pPr>
        <w:spacing w:after="120"/>
      </w:pPr>
      <w:r>
        <w:rPr>
          <w:rFonts w:ascii="微软雅黑" w:eastAsia="微软雅黑" w:hAnsi="微软雅黑" w:cs="微软雅黑" w:hint="eastAsia"/>
          <w:lang w:eastAsia="zh-CN"/>
        </w:rPr>
        <w:t>本文方法在东南大学</w:t>
      </w:r>
      <w:r>
        <w:t xml:space="preserve"> DDS </w:t>
      </w:r>
      <w:r>
        <w:rPr>
          <w:rFonts w:ascii="微软雅黑" w:eastAsia="微软雅黑" w:hAnsi="微软雅黑" w:cs="微软雅黑" w:hint="eastAsia"/>
          <w:lang w:eastAsia="zh-CN"/>
        </w:rPr>
        <w:t>齿轮箱数据集（</w:t>
      </w:r>
      <w:r>
        <w:t>SEU</w:t>
      </w:r>
      <w:r>
        <w:rPr>
          <w:rFonts w:ascii="微软雅黑" w:eastAsia="微软雅黑" w:hAnsi="微软雅黑" w:cs="微软雅黑" w:hint="eastAsia"/>
          <w:lang w:eastAsia="zh-CN"/>
        </w:rPr>
        <w:t>）上，轴承五分类与齿轮五分类各组合测试准确率为</w:t>
      </w:r>
      <w:r>
        <w:t xml:space="preserve"> </w:t>
      </w:r>
      <w:r>
        <w:rPr>
          <w:b w:val="0"/>
          <w:color w:val="C62828"/>
        </w:rPr>
        <w:t>97.7% ~ 100%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折时间序列交叉验证最低</w:t>
      </w:r>
      <w:r>
        <w:t xml:space="preserve"> </w:t>
      </w:r>
      <w:r>
        <w:rPr>
          <w:b w:val="0"/>
          <w:color w:val="C62828"/>
        </w:rPr>
        <w:t>96.9%</w:t>
      </w:r>
      <w:r>
        <w:rPr>
          <w:rFonts w:ascii="微软雅黑" w:eastAsia="微软雅黑" w:hAnsi="微软雅黑" w:cs="微软雅黑" w:hint="eastAsia"/>
          <w:lang w:eastAsia="zh-CN"/>
        </w:rPr>
        <w:t>。与使用同一</w:t>
      </w:r>
      <w:r>
        <w:t xml:space="preserve"> SEU </w:t>
      </w:r>
      <w:r>
        <w:rPr>
          <w:rFonts w:ascii="微软雅黑" w:eastAsia="微软雅黑" w:hAnsi="微软雅黑" w:cs="微软雅黑" w:hint="eastAsia"/>
          <w:lang w:eastAsia="zh-CN"/>
        </w:rPr>
        <w:t>数据集的公开文献（准确率集中于</w:t>
      </w:r>
      <w:r>
        <w:t xml:space="preserve"> 97% ~ 100%</w:t>
      </w:r>
      <w:r>
        <w:rPr>
          <w:rFonts w:ascii="微软雅黑" w:eastAsia="微软雅黑" w:hAnsi="微软雅黑" w:cs="微软雅黑" w:hint="eastAsia"/>
          <w:lang w:eastAsia="zh-CN"/>
        </w:rPr>
        <w:t>）处于同一水平，不虚高也不落后。</w:t>
      </w:r>
    </w:p>
    <w:p>
      <w:pPr>
        <w:spacing w:after="120"/>
      </w:pPr>
      <w:r>
        <w:rPr>
          <w:rFonts w:ascii="微软雅黑" w:eastAsia="微软雅黑" w:hAnsi="微软雅黑" w:cs="微软雅黑" w:hint="eastAsia"/>
          <w:lang w:eastAsia="zh-CN"/>
        </w:rPr>
        <w:t>与现有同源方法相比，本文有三点差异化优势：任务覆盖更全（轴承与齿轮两类对象同时建模，多数同源文献只做其一）、评估协议更严格（时间有序划分与时间序列交叉验证，而非随机划分或重叠采样）、表示更轻量（仅以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个符号状态的多时间步转移矩阵作为输入，未使用注意力、多尺度卷积或迁移学习等复杂结构）。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一、对比基准：本文实验设置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为明确可比性，先对齐本文自身的实验设置。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本文设置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SEU DDS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齿轮箱（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Southeast University Drivetrain Dynamics Simulator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采样率</w:t>
            </w:r>
          </w:p>
        </w:tc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5120 Hz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任务</w:t>
            </w:r>
          </w:p>
        </w:tc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类（分开建模）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工况</w:t>
            </w:r>
          </w:p>
        </w:tc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 Hz–0 V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30 Hz–2 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，两种工况各自独立建模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任务性质</w:t>
            </w:r>
          </w:p>
        </w:tc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同工况内分类（非跨工况迁移）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划分方式</w:t>
            </w:r>
          </w:p>
        </w:tc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时间有序划分，测试集冻结后仅评估一次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验证方式</w:t>
            </w:r>
          </w:p>
        </w:tc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rolling-origin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时间序列交叉验证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独立留出验证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指标</w:t>
            </w:r>
          </w:p>
        </w:tc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准确率（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accuracy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结果</w:t>
            </w:r>
          </w:p>
        </w:tc>
        <w:tc>
          <w:tcPr>
            <w:tcW w:type="dxa" w:w="432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99.5% ~ 100%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97.7% ~ 100%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CV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96.9%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判断「能否直接比较」的关键：是否同一数据库、是否同类任务（同工况内分类）、是否同一指标。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二、同源可比文献概览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以下文献均使用同一</w:t>
      </w:r>
      <w:r>
        <w:t xml:space="preserve"> SEU </w:t>
      </w:r>
      <w:r>
        <w:rPr>
          <w:rFonts w:ascii="微软雅黑" w:eastAsia="微软雅黑" w:hAnsi="微软雅黑" w:cs="微软雅黑" w:hint="eastAsia"/>
          <w:lang w:eastAsia="zh-CN"/>
        </w:rPr>
        <w:t>数据集、均为同工况内分类、均报告准确率，属于最接近可直接比较的对象。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#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文献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出处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年份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任务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划分方式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报告条件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准确率</w:t>
            </w:r>
          </w:p>
        </w:tc>
      </w:tr>
      <w:tr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改进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Transformer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Guan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等）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ACM AAIA 2023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80/20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SNR = 10 dB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99.4%</w:t>
            </w:r>
          </w:p>
        </w:tc>
      </w:tr>
      <w:tr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ICEEMDAN-MPE-AWT + SE-ResNeXt50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Gao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等）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Applied Sciences 2024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随机抽样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先去噪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97.5% ~ 100%</w:t>
            </w:r>
          </w:p>
        </w:tc>
      </w:tr>
      <w:tr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FE-MCFormer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arXiv 2025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8:2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加噪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−10 ~ −2 dB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−2 dB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100%</w:t>
            </w:r>
          </w:p>
        </w:tc>
      </w:tr>
      <w:tr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MTF-TLSSA-DarkNet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Frontiers Mech. Eng. 2026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1000+1000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原始信号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99.17%</w:t>
            </w:r>
          </w:p>
        </w:tc>
      </w:tr>
      <w:tr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同步电机故障诊断（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MSRC+CBAM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IIETA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未明确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原始信号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99.4~99.6%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99.4~99.8%</w:t>
            </w:r>
          </w:p>
        </w:tc>
      </w:tr>
      <w:tr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LECA-EfficientNetV2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Scientific Reports 2023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4:1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原始信号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99.38%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99.75%</w:t>
            </w:r>
          </w:p>
        </w:tc>
      </w:tr>
      <w:tr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SCBM-Net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Scientific Reports 2025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70:30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原始信号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98.33%</w:t>
            </w:r>
          </w:p>
        </w:tc>
      </w:tr>
      <w:tr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SAGAN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改进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ResNet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Scientific Reports 2025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8:1:1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（重叠）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加噪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SNR6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98.42%</w:t>
            </w:r>
          </w:p>
        </w:tc>
      </w:tr>
      <w:tr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多模态深度融合（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BiLSTM+CNN+Transformer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ACM CIISAI 2025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未明确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原始信号</w:t>
            </w:r>
          </w:p>
        </w:tc>
        <w:tc>
          <w:tcPr>
            <w:tcW w:type="dxa" w:w="1234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99.96%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；齿轮约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99%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关键观察：真正最贴近本文的是文献</w:t>
      </w:r>
      <w:r>
        <w:t xml:space="preserve"> 5</w:t>
      </w:r>
      <w:r>
        <w:rPr>
          <w:rFonts w:ascii="微软雅黑" w:eastAsia="微软雅黑" w:hAnsi="微软雅黑" w:cs="微软雅黑" w:hint="eastAsia"/>
          <w:lang w:eastAsia="zh-CN"/>
        </w:rPr>
        <w:t>（同步电机论文）与文献</w:t>
      </w:r>
      <w:r>
        <w:t xml:space="preserve"> 6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LECA-EfficientNetV2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它们同时做了轴承与齿轮两个任务，与本文一致；其余多数文献只做齿轮或只做轴承。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三、与本文结果对比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任务设定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准确率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本文方法（状态转移网络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CNN/GCN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SEU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齿轮，同工况内时间划分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99.5% ~ 100%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97.7% ~ 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（改进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Transformer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SEU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99.4%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MSRC+CBAM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SEU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99.4~99.6%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99.4~99.8%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LECA-EfficientNetV2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SEU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20-0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99.38%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99.75%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SCBM-Net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SEU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轴承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98.33%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SAGAN-IResNet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SEU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齿轮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</w:p>
        </w:tc>
        <w:tc>
          <w:tcPr>
            <w:tcW w:type="dxa" w:w="2880"/>
            <w:vAlign w:val="center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SNR6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98.42%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本文各组合测试准确率（</w:t>
      </w:r>
      <w:r>
        <w:t>97.7% ~ 100%</w:t>
      </w:r>
      <w:r>
        <w:rPr>
          <w:rFonts w:ascii="微软雅黑" w:eastAsia="微软雅黑" w:hAnsi="微软雅黑" w:cs="微软雅黑" w:hint="eastAsia"/>
          <w:lang w:eastAsia="zh-CN"/>
        </w:rPr>
        <w:t>）与同源文献（</w:t>
      </w:r>
      <w:r>
        <w:t>97% ~ 100%</w:t>
      </w:r>
      <w:r>
        <w:rPr>
          <w:rFonts w:ascii="微软雅黑" w:eastAsia="微软雅黑" w:hAnsi="微软雅黑" w:cs="微软雅黑" w:hint="eastAsia"/>
          <w:lang w:eastAsia="zh-CN"/>
        </w:rPr>
        <w:t>）处于同一量级，落在当前主流方法的正常水平区间内，并非虚高。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四、本文的差异化优势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综合同源文献的设置与结果，本文可从三个角度建立相对优势。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3"/>
          <w:lang w:eastAsia="zh-CN"/>
        </w:rPr>
        <w:t>1. 任务覆盖更全（最硬的角度）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文献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7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8 </w:t>
      </w:r>
      <w:r>
        <w:rPr>
          <w:rFonts w:ascii="微软雅黑" w:eastAsia="微软雅黑" w:hAnsi="微软雅黑" w:cs="微软雅黑" w:hint="eastAsia"/>
          <w:lang w:eastAsia="zh-CN"/>
        </w:rPr>
        <w:t>只做齿轮或只做轴承，仅文献</w:t>
      </w:r>
      <w:r>
        <w:t xml:space="preserve"> 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与本文一样同时覆盖轴承与齿轮两类对象。换言之，「别人没做的我们也做了」，覆盖面最完整。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3"/>
          <w:lang w:eastAsia="zh-CN"/>
        </w:rPr>
        <w:t>2. 评估协议更严格（方法论角度）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多数同源文献采用随机划分、重叠采样或</w:t>
      </w:r>
      <w:r>
        <w:t xml:space="preserve"> 8:2 </w:t>
      </w:r>
      <w:r>
        <w:rPr>
          <w:rFonts w:ascii="微软雅黑" w:eastAsia="微软雅黑" w:hAnsi="微软雅黑" w:cs="微软雅黑" w:hint="eastAsia"/>
          <w:lang w:eastAsia="zh-CN"/>
        </w:rPr>
        <w:t>随机划分，相邻窗口极易同时落入训练集与测试集，分数偏乐观；本文采用时间有序划分与</w:t>
      </w:r>
      <w:r>
        <w:t xml:space="preserve"> rolling-origin </w:t>
      </w:r>
      <w:r>
        <w:rPr>
          <w:rFonts w:ascii="微软雅黑" w:eastAsia="微软雅黑" w:hAnsi="微软雅黑" w:cs="微软雅黑" w:hint="eastAsia"/>
          <w:lang w:eastAsia="zh-CN"/>
        </w:rPr>
        <w:t>时间序列交叉验证，训练与测试在时间上严格先后、无重叠，同等分数含金量更高。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1A237E"/>
          <w:sz w:val="23"/>
          <w:lang w:eastAsia="zh-CN"/>
        </w:rPr>
        <w:t>3. 表示更轻量（效率角度）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本文仅以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个符号状态的多时间步转移矩阵作为输入，未使用</w:t>
      </w:r>
      <w:r>
        <w:t xml:space="preserve"> Transformer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SE-ResNeXt50</w:t>
      </w:r>
      <w:r>
        <w:rPr>
          <w:rFonts w:ascii="微软雅黑" w:eastAsia="微软雅黑" w:hAnsi="微软雅黑" w:cs="微软雅黑" w:hint="eastAsia"/>
          <w:lang w:eastAsia="zh-CN"/>
        </w:rPr>
        <w:t>、多模态大网络等复杂结构，参数与计算量显著更小，训练更快、能耗更低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正是「快、实时性强、能耗低」这一优势的切入点。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五、诚实的边界声明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齿轮单项任务上，文献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（改进</w:t>
      </w:r>
      <w:r>
        <w:t xml:space="preserve"> Transformer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99.4%</w:t>
      </w:r>
      <w:r>
        <w:rPr>
          <w:rFonts w:ascii="微软雅黑" w:eastAsia="微软雅黑" w:hAnsi="微软雅黑" w:cs="微软雅黑" w:hint="eastAsia"/>
          <w:lang w:eastAsia="zh-CN"/>
        </w:rPr>
        <w:t>）略高于本文齿轮结果（</w:t>
      </w:r>
      <w:r>
        <w:t>97.7% ~ 98%</w:t>
      </w:r>
      <w:r>
        <w:rPr>
          <w:rFonts w:ascii="微软雅黑" w:eastAsia="微软雅黑" w:hAnsi="微软雅黑" w:cs="微软雅黑" w:hint="eastAsia"/>
          <w:lang w:eastAsia="zh-CN"/>
        </w:rPr>
        <w:t>），本文如实承认、不硬凹。本文的优势应落在轴承任务、评估严谨性与表示效率上，而非宣称全任务最优。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此外，本文各工况独立建模，不具备跨工况泛化能力；同源文献中跨工况迁移任务的准确率普遍仅</w:t>
      </w:r>
      <w:r>
        <w:t xml:space="preserve"> 52% ~ 95%</w:t>
      </w:r>
      <w:r>
        <w:rPr>
          <w:rFonts w:ascii="微软雅黑" w:eastAsia="微软雅黑" w:hAnsi="微软雅黑" w:cs="微软雅黑" w:hint="eastAsia"/>
          <w:lang w:eastAsia="zh-CN"/>
        </w:rPr>
        <w:t>，说明跨工况识别是显著更难的另一种任务，本文对该边界已如实声明，与领域现状相符。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引用文献</w:t>
      </w:r>
    </w:p>
    <w:p>
      <w:pPr>
        <w:spacing w:after="90"/>
      </w:pPr>
      <w:r>
        <w:rPr>
          <w:sz w:val="18"/>
        </w:rPr>
        <w:t>[1] Keming Guan, Bing Du, Zhe Wu, Jinfeng Li, Yan Zhang. Fault Diagnosis of Gearbox Based on Improved Transformer. AAIA 2023 (ACM). DOI: 10.1145/3603273.3636498</w:t>
      </w:r>
    </w:p>
    <w:p>
      <w:pPr>
        <w:spacing w:after="90"/>
      </w:pPr>
      <w:r>
        <w:rPr>
          <w:sz w:val="18"/>
        </w:rPr>
        <w:t>[2] Hongfeng Gao, Tiexin Xu, Renlong Li, Chaozhi Cai. Gearbox Fault Diagnosis Based on ICEEMDAN-MPE-AWT and SE-ResNeXt50 Transfer Learning Model. Applied Sciences, 2024, 14(6): 2565.</w:t>
      </w:r>
    </w:p>
    <w:p>
      <w:pPr>
        <w:spacing w:after="90"/>
      </w:pPr>
      <w:r>
        <w:rPr>
          <w:sz w:val="18"/>
        </w:rPr>
        <w:t>[3] FE-MCFormer: An interpretable fault diagnosis framework for rotating machinery under strong noise. arXiv:2505.06285, 2025.</w:t>
      </w:r>
    </w:p>
    <w:p>
      <w:pPr>
        <w:spacing w:after="90"/>
      </w:pPr>
      <w:r>
        <w:rPr>
          <w:sz w:val="18"/>
        </w:rPr>
        <w:t>[4] Design of a transfer learning fault identification model based on a Markov field and an improved DarkNet. Frontiers in Mechanical Engineering, 2026.</w:t>
      </w:r>
    </w:p>
    <w:p>
      <w:pPr>
        <w:spacing w:after="90"/>
      </w:pPr>
      <w:r>
        <w:rPr>
          <w:sz w:val="18"/>
        </w:rPr>
        <w:t>[5] Deep Learning-Based Fault Diagnosis of Electromechanical Systems in Synchronous Motors. IIETA.</w:t>
      </w:r>
    </w:p>
    <w:p>
      <w:pPr>
        <w:spacing w:after="90"/>
      </w:pPr>
      <w:r>
        <w:rPr>
          <w:sz w:val="18"/>
        </w:rPr>
        <w:t>[6] Gearbox fault diagnosis method based on lightweight channel attention mechanism and transfer learning. Scientific Reports, 2023, 13: 22724.</w:t>
      </w:r>
    </w:p>
    <w:p>
      <w:pPr>
        <w:spacing w:after="90"/>
      </w:pPr>
      <w:r>
        <w:rPr>
          <w:sz w:val="18"/>
        </w:rPr>
        <w:t>[7] SCBM-Net: a multimodal feature fusion-based dual-channel method for bearing fault diagnosis. Scientific Reports, 2025.</w:t>
      </w:r>
    </w:p>
    <w:p>
      <w:pPr>
        <w:spacing w:after="90"/>
      </w:pPr>
      <w:r>
        <w:rPr>
          <w:sz w:val="18"/>
        </w:rPr>
        <w:t>[8] Bearing fault diagnosis method based on SAGAN and improved ResNet. Scientific Reports, 2025.</w:t>
      </w:r>
    </w:p>
    <w:p>
      <w:pPr>
        <w:spacing w:after="90"/>
      </w:pPr>
      <w:r>
        <w:rPr>
          <w:sz w:val="18"/>
        </w:rPr>
        <w:t>[9] Research on Equipment Fault Diagnosis Method Based on Multimodal Deep Fusion. ACM CIISAI, 2025.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8" w:after="120"/>
      <w:outlineLvl w:val="2"/>
    </w:pPr>
    <w:rPr>
      <w:rFonts w:ascii="微软雅黑" w:hAnsi="微软雅黑" w:eastAsia="微软雅黑"/>
      <w:b/>
      <w:bCs/>
      <w:color w:val="1A23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