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Quarterly Operations Review</w:t>
      </w:r>
    </w:p>
    <w:p>
      <w:pPr>
        <w:pStyle w:val="BodyText"/>
        <w:bidi w:val="0"/>
        <w:jc w:val="left"/>
        <w:rPr/>
      </w:pPr>
      <w:r>
        <w:rPr/>
        <w:t xml:space="preserve">This paragraph has </w:t>
      </w:r>
      <w:r>
        <w:rPr>
          <w:b/>
        </w:rPr>
        <w:t>bold text</w:t>
      </w:r>
      <w:r>
        <w:rPr/>
        <w:t xml:space="preserve">, </w:t>
      </w:r>
      <w:r>
        <w:rPr>
          <w:i/>
        </w:rPr>
        <w:t>italic text</w:t>
      </w:r>
      <w:r>
        <w:rPr/>
        <w:t xml:space="preserve">, and </w:t>
      </w:r>
      <w:r>
        <w:rPr>
          <w:b/>
          <w:i/>
        </w:rPr>
        <w:t>both at once</w:t>
      </w:r>
      <w:r>
        <w:rPr/>
        <w:t xml:space="preserve">. It also contains a </w:t>
      </w:r>
      <w:hyperlink r:id="rId2">
        <w:r>
          <w:rPr>
            <w:rStyle w:val="Hyperlink"/>
          </w:rPr>
          <w:t>link to Universal PDF</w:t>
        </w:r>
      </w:hyperlink>
      <w:r>
        <w:rPr/>
        <w:t xml:space="preserve"> in the middle.</w:t>
      </w:r>
    </w:p>
    <w:p>
      <w:pPr>
        <w:pStyle w:val="Heading2"/>
        <w:bidi w:val="0"/>
        <w:jc w:val="left"/>
        <w:rPr/>
      </w:pPr>
      <w:r>
        <w:rPr/>
        <w:t>Findings</w:t>
      </w:r>
    </w:p>
    <w:p>
      <w:pPr>
        <w:pStyle w:val="BodyText"/>
        <w:bidi w:val="0"/>
        <w:jc w:val="left"/>
        <w:rPr/>
      </w:pPr>
      <w:r>
        <w:rPr/>
        <w:t>Ordinary body copy with a smart quote “like this” and an em dash — plus the UNI·SIM mark.</w:t>
      </w:r>
    </w:p>
    <w:p>
      <w:pPr>
        <w:pStyle w:val="Heading3"/>
        <w:bidi w:val="0"/>
        <w:jc w:val="left"/>
        <w:rPr/>
      </w:pPr>
      <w:r>
        <w:rPr/>
        <w:t>Bulleted list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First bullet item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Second bullet item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Nested bullet one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Nested bullet two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Third bullet item </w:t>
      </w:r>
    </w:p>
    <w:p>
      <w:pPr>
        <w:pStyle w:val="Heading3"/>
        <w:bidi w:val="0"/>
        <w:jc w:val="left"/>
        <w:rPr/>
      </w:pPr>
      <w:r>
        <w:rPr/>
        <w:t>Numbered list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Prepare the site survey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Install the simulator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Run operator training </w:t>
      </w:r>
    </w:p>
    <w:p>
      <w:pPr>
        <w:pStyle w:val="Heading2"/>
        <w:bidi w:val="0"/>
        <w:jc w:val="left"/>
        <w:rPr/>
      </w:pPr>
      <w:r>
        <w:rPr/>
        <w:t>Delivery table</w:t>
      </w:r>
    </w:p>
    <w:tbl>
      <w:tblPr>
        <w:tblW w:w="370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0"/>
        <w:gridCol w:w="1278"/>
        <w:gridCol w:w="1223"/>
      </w:tblGrid>
      <w:tr>
        <w:trPr/>
        <w:tc>
          <w:tcPr>
            <w:tcW w:w="120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Milestone</w:t>
            </w:r>
          </w:p>
        </w:tc>
        <w:tc>
          <w:tcPr>
            <w:tcW w:w="127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Owner</w:t>
            </w:r>
          </w:p>
        </w:tc>
        <w:tc>
          <w:tcPr>
            <w:tcW w:w="122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12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survey</w:t>
            </w:r>
          </w:p>
        </w:tc>
        <w:tc>
          <w:tcPr>
            <w:tcW w:w="12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Operations</w:t>
            </w:r>
          </w:p>
        </w:tc>
        <w:tc>
          <w:tcPr>
            <w:tcW w:w="122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</w:t>
            </w:r>
          </w:p>
        </w:tc>
      </w:tr>
      <w:tr>
        <w:trPr/>
        <w:tc>
          <w:tcPr>
            <w:tcW w:w="12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Installation</w:t>
            </w:r>
          </w:p>
        </w:tc>
        <w:tc>
          <w:tcPr>
            <w:tcW w:w="12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Engineering</w:t>
            </w:r>
          </w:p>
        </w:tc>
        <w:tc>
          <w:tcPr>
            <w:tcW w:w="122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 progress</w:t>
            </w:r>
          </w:p>
        </w:tc>
      </w:tr>
      <w:tr>
        <w:trPr/>
        <w:tc>
          <w:tcPr>
            <w:tcW w:w="12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Training</w:t>
            </w:r>
          </w:p>
        </w:tc>
        <w:tc>
          <w:tcPr>
            <w:tcW w:w="127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Clinical</w:t>
            </w:r>
          </w:p>
        </w:tc>
        <w:tc>
          <w:tcPr>
            <w:tcW w:w="122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started</w:t>
            </w:r>
          </w:p>
        </w:tc>
      </w:tr>
    </w:tbl>
    <w:p>
      <w:pPr>
        <w:pStyle w:val="Heading2"/>
        <w:bidi w:val="0"/>
        <w:jc w:val="left"/>
        <w:rPr/>
      </w:pPr>
      <w:r>
        <w:rPr/>
        <w:t>Closing</w:t>
      </w:r>
    </w:p>
    <w:p>
      <w:pPr>
        <w:pStyle w:val="BodyText"/>
        <w:bidi w:val="0"/>
        <w:spacing w:before="0" w:after="283"/>
        <w:jc w:val="left"/>
        <w:rPr/>
      </w:pPr>
      <w:r>
        <w:rPr/>
        <w:t>Final paragraph of the document, which should appear after the table.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unisim.co.uk/pdf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>Rich Fixture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