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line="276"/>
        <w:jc w:val="left"/>
      </w:pPr>
      <w:r>
        <w:rPr>
          <w:rFonts w:ascii="Times New Roman" w:cs="Times New Roman" w:eastAsia="Times New Roman" w:hAnsi="Times New Roman"/>
          <w:b w:val="false"/>
          <w:bCs w:val="false"/>
          <w:i w:val="false"/>
          <w:iCs w:val="false"/>
          <w:sz w:val="22"/>
          <w:szCs w:val="22"/>
        </w:rPr>
        <w:t xml:space="preserve">Shivashish Borah</w:t>
      </w:r>
    </w:p>
    <w:p>
      <w:pPr>
        <w:spacing w:after="180" w:line="276"/>
        <w:jc w:val="left"/>
      </w:pPr>
      <w:r>
        <w:rPr>
          <w:rFonts w:ascii="Times New Roman" w:cs="Times New Roman" w:eastAsia="Times New Roman" w:hAnsi="Times New Roman"/>
          <w:b w:val="false"/>
          <w:bCs w:val="false"/>
          <w:i w:val="false"/>
          <w:iCs w:val="false"/>
          <w:sz w:val="22"/>
          <w:szCs w:val="22"/>
        </w:rPr>
        <w:t xml:space="preserve">AI Humane Tech Pvt Ltd, Bengaluru, India</w:t>
      </w:r>
    </w:p>
    <w:p>
      <w:pPr>
        <w:spacing w:after="180" w:line="276"/>
        <w:jc w:val="left"/>
      </w:pPr>
      <w:r>
        <w:rPr>
          <w:rFonts w:ascii="Times New Roman" w:cs="Times New Roman" w:eastAsia="Times New Roman" w:hAnsi="Times New Roman"/>
          <w:b w:val="false"/>
          <w:bCs w:val="false"/>
          <w:i w:val="false"/>
          <w:iCs w:val="false"/>
          <w:sz w:val="22"/>
          <w:szCs w:val="22"/>
        </w:rPr>
        <w:t xml:space="preserve">Corresponding author: shivashish@aihumane.in</w:t>
      </w:r>
    </w:p>
    <w:p>
      <w:pPr>
        <w:spacing w:after="280" w:line="276"/>
        <w:jc w:val="left"/>
      </w:pPr>
      <w:r>
        <w:rPr>
          <w:rFonts w:ascii="Times New Roman" w:cs="Times New Roman" w:eastAsia="Times New Roman" w:hAnsi="Times New Roman"/>
          <w:b w:val="false"/>
          <w:bCs w:val="false"/>
          <w:i w:val="false"/>
          <w:iCs w:val="false"/>
          <w:sz w:val="22"/>
          <w:szCs w:val="22"/>
        </w:rPr>
        <w:t xml:space="preserve">30 June 2026</w:t>
      </w:r>
    </w:p>
    <w:p>
      <w:pPr>
        <w:spacing w:after="180" w:line="276"/>
        <w:jc w:val="left"/>
      </w:pPr>
      <w:r>
        <w:rPr>
          <w:rFonts w:ascii="Times New Roman" w:cs="Times New Roman" w:eastAsia="Times New Roman" w:hAnsi="Times New Roman"/>
          <w:b w:val="false"/>
          <w:bCs w:val="false"/>
          <w:i w:val="false"/>
          <w:iCs w:val="false"/>
          <w:sz w:val="22"/>
          <w:szCs w:val="22"/>
        </w:rPr>
        <w:t xml:space="preserve">The Editors</w:t>
      </w:r>
    </w:p>
    <w:p>
      <w:pPr>
        <w:spacing w:after="180" w:line="276"/>
        <w:jc w:val="left"/>
      </w:pPr>
      <w:r>
        <w:rPr>
          <w:rFonts w:ascii="Times New Roman" w:cs="Times New Roman" w:eastAsia="Times New Roman" w:hAnsi="Times New Roman"/>
          <w:b w:val="false"/>
          <w:bCs w:val="false"/>
          <w:i w:val="false"/>
          <w:iCs w:val="false"/>
          <w:sz w:val="22"/>
          <w:szCs w:val="22"/>
        </w:rPr>
        <w:t xml:space="preserve">Science Robotics</w:t>
      </w:r>
    </w:p>
    <w:p>
      <w:pPr>
        <w:spacing w:after="280" w:line="276"/>
        <w:jc w:val="left"/>
      </w:pPr>
      <w:r>
        <w:rPr>
          <w:rFonts w:ascii="Times New Roman" w:cs="Times New Roman" w:eastAsia="Times New Roman" w:hAnsi="Times New Roman"/>
          <w:b w:val="false"/>
          <w:bCs w:val="false"/>
          <w:i w:val="false"/>
          <w:iCs w:val="false"/>
          <w:sz w:val="22"/>
          <w:szCs w:val="22"/>
        </w:rPr>
        <w:t xml:space="preserve">American Association for the Advancement of Science (AAAS)</w:t>
      </w:r>
    </w:p>
    <w:p>
      <w:pPr>
        <w:spacing w:after="200" w:line="276"/>
        <w:jc w:val="left"/>
      </w:pPr>
      <w:r>
        <w:rPr>
          <w:rFonts w:ascii="Times New Roman" w:cs="Times New Roman" w:eastAsia="Times New Roman" w:hAnsi="Times New Roman"/>
          <w:b w:val="false"/>
          <w:bCs w:val="false"/>
          <w:i w:val="false"/>
          <w:iCs w:val="false"/>
          <w:sz w:val="22"/>
          <w:szCs w:val="22"/>
        </w:rPr>
        <w:t xml:space="preserve">Dear Editors,</w:t>
      </w:r>
    </w:p>
    <w:p>
      <w:pPr>
        <w:spacing w:after="180" w:line="276"/>
        <w:jc w:val="left"/>
      </w:pPr>
      <w:r>
        <w:rPr>
          <w:rFonts w:ascii="Times New Roman" w:cs="Times New Roman" w:eastAsia="Times New Roman" w:hAnsi="Times New Roman"/>
          <w:b w:val="false"/>
          <w:bCs w:val="false"/>
          <w:i w:val="false"/>
          <w:iCs w:val="false"/>
          <w:sz w:val="22"/>
          <w:szCs w:val="22"/>
        </w:rPr>
        <w:t xml:space="preserve">We are pleased to submit our manuscript, </w:t>
      </w:r>
      <w:r>
        <w:rPr>
          <w:rFonts w:ascii="Times New Roman" w:cs="Times New Roman" w:eastAsia="Times New Roman" w:hAnsi="Times New Roman"/>
          <w:b w:val="false"/>
          <w:bCs w:val="false"/>
          <w:i/>
          <w:iCs/>
          <w:sz w:val="22"/>
          <w:szCs w:val="22"/>
        </w:rPr>
        <w:t xml:space="preserve">“Deploy, Augment, or Hire? A Total-Cost-of-Ownership and Cohort Framework for Robot-Labor Deployment Decisions Across Global Wage Regions,”</w:t>
      </w:r>
      <w:r>
        <w:rPr>
          <w:rFonts w:ascii="Times New Roman" w:cs="Times New Roman" w:eastAsia="Times New Roman" w:hAnsi="Times New Roman"/>
          <w:b w:val="false"/>
          <w:bCs w:val="false"/>
          <w:i w:val="false"/>
          <w:iCs w:val="false"/>
          <w:sz w:val="22"/>
          <w:szCs w:val="22"/>
        </w:rPr>
        <w:t xml:space="preserve"> for consideration as a Research Article in Science Robotics. The work reframes the robot-versus-labor decision from one of capital acquisition to one of deployment economics, and provides a transparent, fully parameterized framework that any reader can re-run with their own inputs.</w:t>
      </w:r>
    </w:p>
    <w:p>
      <w:pPr>
        <w:spacing w:after="180" w:line="276"/>
        <w:jc w:val="left"/>
      </w:pPr>
      <w:r>
        <w:rPr>
          <w:rFonts w:ascii="Times New Roman" w:cs="Times New Roman" w:eastAsia="Times New Roman" w:hAnsi="Times New Roman"/>
          <w:b/>
          <w:bCs/>
          <w:i w:val="false"/>
          <w:iCs w:val="false"/>
          <w:sz w:val="22"/>
          <w:szCs w:val="22"/>
        </w:rPr>
        <w:t xml:space="preserve">Significance. </w:t>
      </w:r>
      <w:r>
        <w:rPr>
          <w:rFonts w:ascii="Times New Roman" w:cs="Times New Roman" w:eastAsia="Times New Roman" w:hAnsi="Times New Roman"/>
          <w:b w:val="false"/>
          <w:bCs w:val="false"/>
          <w:i w:val="false"/>
          <w:iCs w:val="false"/>
          <w:sz w:val="22"/>
          <w:szCs w:val="22"/>
        </w:rPr>
        <w:t xml:space="preserve">Most published comparisons set a robot’s sticker price against a bare hourly wage. We instead model full robot total cost of ownership (manufactured cost, deployment, a service multiple, operating cost, and a refurbish-or-retire rule) against properly loaded labor cost, and we keep rigorously separate the two senses of “depreciation” on each side of the comparison: physical wear of capital equipment versus Becker-Mincer decay of human skills. Instantiated across seven wage regions and three skill cohorts, the framework shows that automation favorability is strongly regional and cohort-specific, that utilization and shift coverage—not hardware price—are the dominant levers, and that the dominant rational outcome is augmentation rather than wholesale displacement. We believe these results will interest the journal’s broad readership across robotics, automation economics, and labor policy.</w:t>
      </w:r>
    </w:p>
    <w:p>
      <w:pPr>
        <w:spacing w:after="180" w:line="276"/>
        <w:jc w:val="left"/>
      </w:pPr>
      <w:r>
        <w:rPr>
          <w:rFonts w:ascii="Times New Roman" w:cs="Times New Roman" w:eastAsia="Times New Roman" w:hAnsi="Times New Roman"/>
          <w:b/>
          <w:bCs/>
          <w:i w:val="false"/>
          <w:iCs w:val="false"/>
          <w:sz w:val="22"/>
          <w:szCs w:val="22"/>
        </w:rPr>
        <w:t xml:space="preserve">Originality and ethical framing. </w:t>
      </w:r>
      <w:r>
        <w:rPr>
          <w:rFonts w:ascii="Times New Roman" w:cs="Times New Roman" w:eastAsia="Times New Roman" w:hAnsi="Times New Roman"/>
          <w:b w:val="false"/>
          <w:bCs w:val="false"/>
          <w:i w:val="false"/>
          <w:iCs w:val="false"/>
          <w:sz w:val="22"/>
          <w:szCs w:val="22"/>
        </w:rPr>
        <w:t xml:space="preserve">This manuscript is original, has not been published elsewhere, and is not under consideration by any other journal. All numerical anchors flagged as illustrative or user-provided are identified as such in the text, and the analysis is bounded by an explicit ethical guardrail: lifecycle, depreciation, and retirement reasoning apply only to capital equipment and never to people.</w:t>
      </w:r>
    </w:p>
    <w:p>
      <w:pPr>
        <w:spacing w:after="180" w:line="276"/>
        <w:jc w:val="left"/>
      </w:pPr>
      <w:r>
        <w:rPr>
          <w:rFonts w:ascii="Times New Roman" w:cs="Times New Roman" w:eastAsia="Times New Roman" w:hAnsi="Times New Roman"/>
          <w:b/>
          <w:bCs/>
          <w:i w:val="false"/>
          <w:iCs w:val="false"/>
          <w:sz w:val="22"/>
          <w:szCs w:val="22"/>
        </w:rPr>
        <w:t xml:space="preserve">Use of AI-assisted technology. </w:t>
      </w:r>
      <w:r>
        <w:rPr>
          <w:rFonts w:ascii="Times New Roman" w:cs="Times New Roman" w:eastAsia="Times New Roman" w:hAnsi="Times New Roman"/>
          <w:b w:val="false"/>
          <w:bCs w:val="false"/>
          <w:i w:val="false"/>
          <w:iCs w:val="false"/>
          <w:sz w:val="22"/>
          <w:szCs w:val="22"/>
        </w:rPr>
        <w:t xml:space="preserve">In accordance with the Science journals’ AI policy, we disclose that an AI-assisted technology—Anthropic’s Claude (model Claude Opus 4.8, accessed via Claude Code; July 2026)—was used as an aid in copy-editing and presentation of this manuscript: line-editing toward clear, declarative prose, defining terminology and units on first use, and drafting a small number of clarifying sentences that we reviewed and approved. The AI tool did not generate research data, results, analyses, citations, or figures, and is not credited as an author. No AI-generated images or multimedia are included. Full disclosure, including the verbatim prompt and tool version, appears in the Acknowledgments and in Appendix D (Methodology and conversion notes). We take full responsibility for the accuracy, originality, and integrity of all content, including any text influenced by AI assistance, and we have reviewed the work to guard against AI-introduced bias.</w:t>
      </w:r>
    </w:p>
    <w:p>
      <w:pPr>
        <w:spacing w:after="180" w:line="276"/>
        <w:jc w:val="left"/>
      </w:pPr>
      <w:r>
        <w:rPr>
          <w:rFonts w:ascii="Times New Roman" w:cs="Times New Roman" w:eastAsia="Times New Roman" w:hAnsi="Times New Roman"/>
          <w:b w:val="false"/>
          <w:bCs w:val="false"/>
          <w:i w:val="false"/>
          <w:iCs w:val="false"/>
          <w:sz w:val="22"/>
          <w:szCs w:val="22"/>
        </w:rPr>
        <w:t xml:space="preserve">We confirm that all authors have approved the submission and that there are no conflicts of interest to declare beyond those stated in the manuscript. We would be glad to provide any additional information the editors require.</w:t>
      </w:r>
    </w:p>
    <w:p>
      <w:pPr>
        <w:spacing w:after="280" w:line="276"/>
        <w:jc w:val="left"/>
      </w:pPr>
      <w:r>
        <w:rPr>
          <w:rFonts w:ascii="Times New Roman" w:cs="Times New Roman" w:eastAsia="Times New Roman" w:hAnsi="Times New Roman"/>
          <w:b w:val="false"/>
          <w:bCs w:val="false"/>
          <w:i w:val="false"/>
          <w:iCs w:val="false"/>
          <w:sz w:val="22"/>
          <w:szCs w:val="22"/>
        </w:rPr>
        <w:t xml:space="preserve">Thank you for considering our work.</w:t>
      </w:r>
    </w:p>
    <w:p>
      <w:pPr>
        <w:spacing w:after="180" w:line="276"/>
        <w:jc w:val="left"/>
      </w:pPr>
      <w:r>
        <w:rPr>
          <w:rFonts w:ascii="Times New Roman" w:cs="Times New Roman" w:eastAsia="Times New Roman" w:hAnsi="Times New Roman"/>
          <w:b w:val="false"/>
          <w:bCs w:val="false"/>
          <w:i w:val="false"/>
          <w:iCs w:val="false"/>
          <w:sz w:val="22"/>
          <w:szCs w:val="22"/>
        </w:rPr>
        <w:t xml:space="preserve">Sincerely,</w:t>
      </w:r>
    </w:p>
    <w:p>
      <w:pPr>
        <w:spacing w:after="180" w:line="276"/>
        <w:jc w:val="left"/>
      </w:pPr>
      <w:r>
        <w:rPr>
          <w:rFonts w:ascii="Times New Roman" w:cs="Times New Roman" w:eastAsia="Times New Roman" w:hAnsi="Times New Roman"/>
          <w:b w:val="false"/>
          <w:bCs w:val="false"/>
          <w:i w:val="false"/>
          <w:iCs w:val="false"/>
          <w:sz w:val="22"/>
          <w:szCs w:val="22"/>
        </w:rPr>
        <w:t xml:space="preserve">Shivashish Borah</w:t>
      </w:r>
    </w:p>
    <w:p>
      <w:pPr>
        <w:spacing w:after="180" w:line="276"/>
        <w:jc w:val="left"/>
      </w:pPr>
      <w:r>
        <w:rPr>
          <w:rFonts w:ascii="Times New Roman" w:cs="Times New Roman" w:eastAsia="Times New Roman" w:hAnsi="Times New Roman"/>
          <w:b w:val="false"/>
          <w:bCs w:val="false"/>
          <w:i w:val="false"/>
          <w:iCs w:val="false"/>
          <w:sz w:val="22"/>
          <w:szCs w:val="22"/>
        </w:rPr>
        <w:t xml:space="preserve">Corresponding author: shivashish@aihumane.in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2026-06-30T21:27:22.501Z</dcterms:created>
  <dcterms:modified xsi:type="dcterms:W3CDTF">2026-06-30T21:27:22.502Z</dcterms:modified>
</cp:coreProperties>
</file>

<file path=docProps/custom.xml><?xml version="1.0" encoding="utf-8"?>
<Properties xmlns="http://schemas.openxmlformats.org/officeDocument/2006/custom-properties" xmlns:vt="http://schemas.openxmlformats.org/officeDocument/2006/docPropsVTypes"/>
</file>