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w:t>
      </w:r>
      <w:r>
        <w:t xml:space="preserve"> </w:t>
      </w:r>
      <w:r>
        <w:rPr>
          <w:i/>
        </w:rPr>
        <w:t xml:space="preserve">From</w:t>
      </w:r>
      <w:r>
        <w:t xml:space="preserve">:</w:t>
      </w:r>
      <w:r>
        <w:t xml:space="preserve"> </w:t>
      </w:r>
      <w:r>
        <w:t xml:space="preserve">“</w:t>
      </w:r>
      <w:r>
        <w:t xml:space="preserve">Modeling: A Study in Words and Meanings</w:t>
      </w:r>
      <w:r>
        <w:t xml:space="preserve">”</w:t>
      </w:r>
      <w:r>
        <w:t xml:space="preserve"> </w:t>
      </w:r>
      <w:r>
        <w:t xml:space="preserve">by Willard McCarty</w:t>
      </w:r>
      <w:r>
        <w:t xml:space="preserve"> </w:t>
      </w:r>
      <w:r>
        <w:t xml:space="preserve">subtitle:</w:t>
      </w:r>
      <w:r>
        <w:t xml:space="preserve"> </w:t>
      </w:r>
      <w:r>
        <w:t xml:space="preserve">author: Willard McCarty</w:t>
      </w:r>
      <w:r>
        <w:t xml:space="preserve"> </w:t>
      </w:r>
      <w:r>
        <w:t xml:space="preserve">date:</w:t>
      </w:r>
      <w:r>
        <w:t xml:space="preserve"> </w:t>
      </w:r>
      <w:r>
        <w:t xml:space="preserve"> </w:t>
      </w:r>
      <w:r>
        <w:t xml:space="preserve">bibliography: biblio.bib</w:t>
      </w:r>
      <w:r>
        <w:t xml:space="preserve"> </w:t>
      </w:r>
      <w:r>
        <w:t xml:space="preserve">csl: mla.csl</w:t>
      </w:r>
      <w:r>
        <w:t xml:space="preserve"> </w:t>
      </w:r>
      <w:r>
        <w:t xml:space="preserve">—</w:t>
      </w:r>
    </w:p>
    <w:p>
      <w:pPr>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pPr>
        <w:pStyle w:val="BlockText"/>
      </w:pPr>
      <w:r>
        <w:t xml:space="preserve">He knew men who hated the variables. They had their plans and by golly they were going to stick to them. If the site did not match the drawings it was like a personal insult.</w:t>
      </w:r>
    </w:p>
    <w:p>
      <w:pPr>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Pr>
      <w:r>
        <w:t xml:space="preserve">Kate Grenville, The Idea of Perfection (Sydney: Picador, 1999): 62–3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(Analects 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 the</w:t>
      </w:r>
      <w:r>
        <w:t xml:space="preserve"> </w:t>
      </w:r>
      <w:r>
        <w:rPr>
          <w:i/>
        </w:rPr>
        <w:t xml:space="preserve">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 a</w:t>
      </w:r>
      <w:r>
        <w:t xml:space="preserve"> </w:t>
      </w:r>
      <w:r>
        <w:rPr>
          <w:i/>
        </w:rPr>
        <w:t xml:space="preserve">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t xml:space="preserve"> </w:t>
      </w:r>
      <w:r>
        <w:t xml:space="preserve">(Geertz and Darnton 2017, 93)</w:t>
      </w:r>
      <w:r>
        <w:rPr>
          <w:rStyle w:val="FootnoteReference"/>
        </w:rPr>
        <w:footnoteReference w:id="23"/>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2002, 158)</w:t>
      </w:r>
      <w:r>
        <w:t xml:space="preserve">. By nature modeling defines a ternary relationship in which it mediates epistemologically, between modeler and modeled, researcher and data or theory and the world</w:t>
      </w:r>
      <w:r>
        <w:t xml:space="preserve"> </w:t>
      </w:r>
      <w:r>
        <w:t xml:space="preserve">(Morrison 1998)</w:t>
      </w:r>
      <w:r>
        <w:t xml:space="preserve">. 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 realize.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w:t>
      </w:r>
      <w:r>
        <w:t xml:space="preserve"> </w:t>
      </w:r>
      <w:r>
        <w:t xml:space="preserve">(Leff 2001)</w:t>
      </w:r>
      <w:r>
        <w:t xml:space="preserve">. Leff cites, e.g., the historic-graphical notion of</w:t>
      </w:r>
      <w:r>
        <w:t xml:space="preserve"> </w:t>
      </w:r>
      <w:r>
        <w:t xml:space="preserve">“</w:t>
      </w:r>
      <w:r>
        <w:t xml:space="preserve">epoch</w:t>
      </w:r>
      <w:r>
        <w:t xml:space="preserve">”</w:t>
      </w:r>
      <w:r>
        <w:t xml:space="preserve">, but any well-articulated idea would qualify as a model</w:t>
      </w:r>
      <w:r>
        <w:t xml:space="preserve"> </w:t>
      </w:r>
      <w:r>
        <w:rPr>
          <w:i/>
        </w:rPr>
        <w:t xml:space="preserve">of</w:t>
      </w:r>
      <w:r>
        <w:t xml:space="preserve"> </w:t>
      </w:r>
      <w:r>
        <w:t xml:space="preserve">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(Finley 1986, 60f)</w:t>
      </w:r>
      <w:r>
        <w:t xml:space="preserve">.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 of it; delineating them as models is the scholar’s obvious work</w:t>
      </w:r>
      <w:r>
        <w:t xml:space="preserve">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w:t>
      </w:r>
      <w:r>
        <w:t xml:space="preserve"> </w:t>
      </w:r>
      <w:r>
        <w:rPr>
          <w:i/>
        </w:rPr>
        <w:t xml:space="preserve">of</w:t>
      </w:r>
      <w:r>
        <w:t xml:space="preserve"> </w:t>
      </w:r>
      <w:r>
        <w:t xml:space="preserve">an object A to the extent that B can use A* to answer questions that interest him about A</w:t>
      </w:r>
      <w:r>
        <w:t xml:space="preserve">”</w:t>
      </w:r>
      <w:r>
        <w:t xml:space="preserve"> </w:t>
      </w:r>
      <w:r>
        <w:t xml:space="preserve">(Minsky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 [McCarty_2002],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(Polani 2011, 4–5)</w:t>
      </w:r>
      <w:r>
        <w:t xml:space="preserve">.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 manus)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(Minsky 1995)</w:t>
      </w:r>
      <w:r>
        <w:t xml:space="preserve">. Computing met research easily in fields where modeling was already an explicit method because, Brian Cantwell Smith has pointed out, models are fundamental to computing: to do anything useful at all a computer must have a model</w:t>
      </w:r>
      <w:r>
        <w:t xml:space="preserve"> </w:t>
      </w:r>
      <w:r>
        <w:rPr>
          <w:i/>
        </w:rPr>
        <w:t xml:space="preserve">of</w:t>
      </w:r>
      <w:r>
        <w:t xml:space="preserve"> </w:t>
      </w:r>
      <w:r>
        <w:t xml:space="preserve">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1995, 460)</w:t>
      </w:r>
      <w:r>
        <w:t xml:space="preserve">(Fetzer and Sugden 1999, 23)</w:t>
      </w:r>
      <w:r>
        <w:t xml:space="preserve">.</w:t>
      </w:r>
    </w:p>
    <w:p>
      <w:pPr>
        <w:pStyle w:val="BodyText"/>
      </w:pPr>
      <w:r>
        <w:t xml:space="preserve">In other words, computational models, however finely perfected, are better understood as temporary states in a process of coming to know rather than fixed structures of knowledge. It is of course possible to argue ideologically, as some still do, that we are converging on and will achieve such structures,</w:t>
      </w:r>
      <w:r>
        <w:rPr>
          <w:rStyle w:val="FootnoteReference"/>
        </w:rPr>
        <w:footnoteReference w:id="24"/>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computers are essentially modeling machines, not knowledge jukeboxes.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 of something readily turns into modeling for 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 any sense of closure. Modeling for, Utopian by definition, is denied it in any case.</w:t>
      </w:r>
    </w:p>
    <w:p>
      <w:pPr>
        <w:pStyle w:val="Heading1"/>
      </w:pPr>
      <w:bookmarkStart w:id="25" w:name="learned-complaints"/>
      <w:r>
        <w:t xml:space="preserve">Learned Complaints</w:t>
      </w:r>
      <w:bookmarkEnd w:id="25"/>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w:t>
      </w:r>
      <w:r>
        <w:t xml:space="preserve"> </w:t>
      </w:r>
      <w:r>
        <w:rPr>
          <w:i/>
        </w:rPr>
        <w:t xml:space="preserve">of</w:t>
      </w:r>
      <w:r>
        <w:t xml:space="preserve"> </w:t>
      </w:r>
      <w:r>
        <w:t xml:space="preserve">a model</w:t>
      </w:r>
      <w:r>
        <w:t xml:space="preserve">”</w:t>
      </w:r>
      <w:r>
        <w:t xml:space="preserve">, physicist H. J. Groenewold declared many years ago</w:t>
      </w:r>
      <w:r>
        <w:t xml:space="preserve"> </w:t>
      </w:r>
      <w:r>
        <w:t xml:space="preserve">(Groenewold 1961, 98)</w:t>
      </w:r>
      <w:r>
        <w:t xml:space="preserve">. The philosopher Peter Achinstein has warned us away even from attempting a systematic theory</w:t>
      </w:r>
      <w:r>
        <w:t xml:space="preserve"> </w:t>
      </w:r>
      <w:r>
        <w:t xml:space="preserve">(Achinstein 1968, 203)</w:t>
      </w:r>
      <w:r>
        <w:t xml:space="preserve">.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(Goodman 1976, 171)</w:t>
      </w:r>
      <w:r>
        <w:t xml:space="preserve">.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 inter alia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t xml:space="preserve"> </w:t>
      </w:r>
      <w:r>
        <w:t xml:space="preserve">(Ziman 2008, 126–38, 147–50)</w:t>
      </w:r>
      <w:r>
        <w:t xml:space="preserve"> </w:t>
      </w:r>
      <w:r>
        <w:t xml:space="preserve">(Toulmin 1958, 94–109)</w:t>
      </w:r>
      <w:r>
        <w:t xml:space="preserve">. Goodman would have us collapse modeling into diagramming, which he thinks less troublesome</w:t>
      </w:r>
      <w:r>
        <w:t xml:space="preserve"> </w:t>
      </w:r>
      <w:r>
        <w:t xml:space="preserve">(Goodman 1976, 171–3)</w:t>
      </w:r>
      <w:r>
        <w:t xml:space="preserve">.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1"/>
      </w:pPr>
      <w:bookmarkStart w:id="26" w:name="philological-analysis-of-related-terms"/>
      <w:r>
        <w:t xml:space="preserve">Philological Analysis of Related Terms</w:t>
      </w:r>
      <w:bookmarkEnd w:id="26"/>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rPr>
          <w:rStyle w:val="FootnoteReference"/>
        </w:rPr>
        <w:footnoteReference w:id="27"/>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2"/>
      </w:pPr>
      <w:bookmarkStart w:id="28" w:name="analogy"/>
      <w:r>
        <w:t xml:space="preserve">Analogy</w:t>
      </w:r>
      <w:bookmarkEnd w:id="28"/>
    </w:p>
    <w:p>
      <w:pPr>
        <w:pStyle w:val="FirstParagraph"/>
      </w:pPr>
      <w:r>
        <w:t xml:space="preserve">“</w:t>
      </w:r>
      <w:r>
        <w:t xml:space="preserve">Analogy</w:t>
      </w:r>
      <w:r>
        <w:t xml:space="preserve">”</w:t>
      </w:r>
      <w:r>
        <w:t xml:space="preserve"> </w:t>
      </w:r>
      <w:r>
        <w:t xml:space="preserve">(Gk.,</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29"/>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(A System of Logic,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 vis matrix,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t xml:space="preserve"> </w:t>
      </w:r>
      <w:r>
        <w:t xml:space="preserve">(Hoffman 1995)</w:t>
      </w:r>
      <w:r>
        <w:t xml:space="preserve">. Because modeling is analogical, this work is potentially relevant to questions raised in computing the artifacts of the humanities. We need to pay attention here.</w:t>
      </w:r>
    </w:p>
    <w:p>
      <w:pPr>
        <w:pStyle w:val="Heading2"/>
      </w:pPr>
      <w:bookmarkStart w:id="30" w:name="representation"/>
      <w:r>
        <w:t xml:space="preserve">Representation</w:t>
      </w:r>
      <w:bookmarkEnd w:id="30"/>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w:t>
      </w:r>
      <w:r>
        <w:t xml:space="preserve"> </w:t>
      </w:r>
      <w:r>
        <w:t xml:space="preserve">(Goodman 1976, 3–41)</w:t>
      </w:r>
      <w:r>
        <w:rPr>
          <w:rStyle w:val="FootnoteReference"/>
        </w:rPr>
        <w:footnoteReference w:id="31"/>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 trompe I’oeil,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 for.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32"/>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Pr>
      <w:r>
        <w:t xml:space="preserve">(Williams 2011, 11–12)</w:t>
      </w:r>
      <w:r>
        <w:t xml:space="preserve"> </w:t>
      </w:r>
      <w:r>
        <w:t xml:space="preserve">Projects such as Cyc, based on what Northrop Frye characterized as the discredited Wissenschaft-theory of knowledge – that its accumulation in vast quantities will one day, somehow, result in understanding</w:t>
      </w:r>
      <w:r>
        <w:rPr>
          <w:rStyle w:val="FootnoteReference"/>
        </w:rPr>
        <w:footnoteReference w:id="33"/>
      </w:r>
      <w:r>
        <w:t xml:space="preserve"> </w:t>
      </w:r>
      <w:r>
        <w:t xml:space="preserve">– clearly assume if not perfect closure, then a threshold beyond which lack of perfection ceases to matter. But to whom, and for what purposes?[^9] Apart from such questions, and the serious doubts within computer science on the wisdom of building massive knowledge-bases for expert systems</w:t>
      </w:r>
      <w:r>
        <w:rPr>
          <w:rStyle w:val="FootnoteReference"/>
        </w:rPr>
        <w:footnoteReference w:id="34"/>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Thomson Course Technology, and Cengage Learning 2000, 12)</w:t>
      </w:r>
      <w:r>
        <w:t xml:space="preserve">, our intellectual claustrophobia tells an important tale. Not, of course, the only one. If the point of modeling is to fail well, then KR has a vital quality-control function to serve.</w:t>
      </w:r>
    </w:p>
    <w:p>
      <w:pPr>
        <w:pStyle w:val="Heading2"/>
      </w:pPr>
      <w:bookmarkStart w:id="35" w:name="diagram"/>
      <w:r>
        <w:t xml:space="preserve">Diagram</w:t>
      </w:r>
      <w:bookmarkEnd w:id="35"/>
    </w:p>
    <w:p>
      <w:pPr>
        <w:pStyle w:val="FirstParagraph"/>
      </w:pPr>
      <w:r>
        <w:t xml:space="preserve">A diagram (Gk.,</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36"/>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37"/>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 per se, the role of manipulation where diagramming is heuristic and the kinaesthetics of the action suggest the close relationship between diagramming and modeling for which Goodman argues. Models of,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38"/>
      </w:r>
      <w:r>
        <w:t xml:space="preserve"> </w:t>
      </w:r>
      <w:r>
        <w:t xml:space="preserve">That is changing very rapidly now. As a cognitive, reasoning process it is studied in relation to Greek mathematics and geometry in particular (Netz 1999). Modern philosophical attention can be traced from Descartes’s</w:t>
      </w:r>
      <w:r>
        <w:t xml:space="preserve"> </w:t>
      </w:r>
      <w:r>
        <w:t xml:space="preserve">“</w:t>
      </w:r>
      <w:r>
        <w:t xml:space="preserve">La Geometric</w:t>
      </w:r>
      <w:r>
        <w:t xml:space="preserve">”</w:t>
      </w:r>
      <w:r>
        <w:t xml:space="preserve"> </w:t>
      </w:r>
      <w:r>
        <w:t xml:space="preserve">(1637) and Kant’s Critique of Pure Reason 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1"/>
      </w:pPr>
      <w:bookmarkStart w:id="39" w:name="map"/>
      <w:r>
        <w:t xml:space="preserve">Map</w:t>
      </w:r>
      <w:bookmarkEnd w:id="39"/>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40"/>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 of or for 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41"/>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 (Toulmin 1958), which suggests techniques of automated inferencing in AI. (Maps of argument look like flowcharts.) As a form of data-visualization, mapping also connects with a very strong, recent interest in humanities computing (Kirschenbaum 2002), and so connects this interest with modeling.</w:t>
      </w:r>
    </w:p>
    <w:p>
      <w:pPr>
        <w:pStyle w:val="Heading2"/>
      </w:pPr>
      <w:bookmarkStart w:id="42" w:name="simulation"/>
      <w:r>
        <w:t xml:space="preserve">Simulation</w:t>
      </w:r>
      <w:bookmarkEnd w:id="42"/>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(OED).</w:t>
      </w:r>
      <w:r>
        <w:rPr>
          <w:rStyle w:val="FootnoteReference"/>
        </w:rPr>
        <w:footnoteReference w:id="43"/>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(Simon 1969: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44"/>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45"/>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 (Burch 2002).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46"/>
      </w:r>
      <w:r>
        <w:t xml:space="preserve"> </w:t>
      </w:r>
      <w:r>
        <w:t xml:space="preserve">– and so must be studied as simulations. Thus simulation has opened our eyes to the new problems with which it can deal. In the humanities we have known for some years that computer-based simulations, in the form of pedagogical games, can play a role in teaching. An old but very good example is The Would-Be Gentleman, a re-creation of economic and social life in seventeenth-century France in which the student-player must realize and put aside his or her modern preconceptions in order to win (Lougee 1988). In other words he or she must become a seventeenth-century Frenchman mentally and emotionally. From more recent and far more technically advanced VR applications, such as Richard Beacham’s and Hugh Denard’s reconstruction of the theater of Pompey in Rome (Beacham and Denard 2003),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 The Would-Be Gentleman 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 self-conscious simulation, and simulation an assimilated modeling.</w:t>
      </w:r>
    </w:p>
    <w:p>
      <w:pPr>
        <w:pStyle w:val="Heading1"/>
      </w:pPr>
      <w:bookmarkStart w:id="47" w:name="experiment"/>
      <w:r>
        <w:t xml:space="preserve">Experiment</w:t>
      </w:r>
      <w:bookmarkEnd w:id="47"/>
    </w:p>
    <w:p>
      <w:pPr>
        <w:pStyle w:val="FirstParagraph"/>
      </w:pPr>
      <w:r>
        <w:t xml:space="preserve">In common usage</w:t>
      </w:r>
      <w:r>
        <w:t xml:space="preserve"> </w:t>
      </w:r>
      <w:r>
        <w:t xml:space="preserve">“</w:t>
      </w:r>
      <w:r>
        <w:t xml:space="preserve">experiment</w:t>
      </w:r>
      <w:r>
        <w:t xml:space="preserve">”</w:t>
      </w:r>
      <w:r>
        <w:t xml:space="preserve"> </w:t>
      </w:r>
      <w:r>
        <w:t xml:space="preserve">(L. experiri,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(OED).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 decides 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(Galison 1987: 1). Modeling and experimenting are by nature open-ended; indeed they are often at the time ill-defined, even quite messy.</w:t>
      </w:r>
      <w:r>
        <w:rPr>
          <w:rStyle w:val="FootnoteReference"/>
        </w:rPr>
        <w:footnoteReference w:id="48"/>
      </w:r>
    </w:p>
    <w:p>
      <w:pPr>
        <w:pStyle w:val="BodyText"/>
      </w:pPr>
      <w:r>
        <w:t xml:space="preserve">The semantic overlap of</w:t>
      </w:r>
      <w:r>
        <w:t xml:space="preserve"> </w:t>
      </w:r>
      <w:r>
        <w:t xml:space="preserve">“</w:t>
      </w:r>
      <w:r>
        <w:t xml:space="preserve">modeling</w:t>
      </w:r>
      <w:r>
        <w:t xml:space="preserve">”</w:t>
      </w:r>
      <w:r>
        <w:t xml:space="preserve"> </w:t>
      </w:r>
      <w:r>
        <w:t xml:space="preserve">and</w:t>
      </w:r>
      <w:r>
        <w:t xml:space="preserve"> </w:t>
      </w:r>
      <w:r>
        <w:t xml:space="preserve">“</w:t>
      </w:r>
      <w:r>
        <w:t xml:space="preserve">experiment</w:t>
      </w:r>
      <w:r>
        <w:t xml:space="preserve">”</w:t>
      </w:r>
      <w:r>
        <w:t xml:space="preserve"> </w:t>
      </w:r>
      <w:r>
        <w:t xml:space="preserve">is so close that the two can be quite difficult to separate (Guala 2002). Mary S. Morgan, writing about modeling in economics, has argued that they may be discriminated by the degree to which the former involves hypothesis, the latter reality (2002: 49). But, as she notes, hybrids provide exceptions and thought experiments –</w:t>
      </w:r>
      <w:r>
        <w:t xml:space="preserve"> </w:t>
      </w:r>
      <w:r>
        <w:t xml:space="preserve">“</w:t>
      </w:r>
      <w:r>
        <w:t xml:space="preserve">devices of the imagination used to investigate nature</w:t>
      </w:r>
      <w:r>
        <w:t xml:space="preserve">”</w:t>
      </w:r>
      <w:r>
        <w:t xml:space="preserve"> </w:t>
      </w:r>
      <w:r>
        <w:t xml:space="preserve">(Brown 2002) – a very close analogue to modeling.</w:t>
      </w:r>
      <w:r>
        <w:rPr>
          <w:rStyle w:val="FootnoteReference"/>
        </w:rPr>
        <w:footnoteReference w:id="49"/>
      </w:r>
      <w:r>
        <w:t xml:space="preserve"> </w:t>
      </w:r>
      <w:r>
        <w:t xml:space="preserve">Perhaps the relationship is most clearly stated by saying that in the context of research a model is an experimental device, modeling an experimental technique.</w:t>
      </w:r>
    </w:p>
    <w:p>
      <w:pPr>
        <w:pStyle w:val="BodyText"/>
      </w:pPr>
      <w:r>
        <w:t xml:space="preserve">The point of considering</w:t>
      </w:r>
      <w:r>
        <w:t xml:space="preserve"> </w:t>
      </w:r>
      <w:r>
        <w:t xml:space="preserve">“</w:t>
      </w:r>
      <w:r>
        <w:t xml:space="preserve">experiment</w:t>
      </w:r>
      <w:r>
        <w:t xml:space="preserve">”</w:t>
      </w:r>
      <w:r>
        <w:t xml:space="preserve"> </w:t>
      </w:r>
      <w:r>
        <w:t xml:space="preserve">here is, however, primarily to locate our topic within the context of a particular history of ideas and so to engage with large and important areas of historical and philosophical research. Indeed, as an experimental technique modeling has shared the fate of experiment in the specialist literature, and so also in the popular understanding. Allow me briefly to summarize the background.</w:t>
      </w:r>
      <w:r>
        <w:rPr>
          <w:rStyle w:val="FootnoteReference"/>
        </w:rPr>
        <w:footnoteReference w:id="50"/>
      </w:r>
    </w:p>
    <w:p>
      <w:pPr>
        <w:pStyle w:val="BodyText"/>
      </w:pPr>
      <w:r>
        <w:t xml:space="preserve">By the mid-nineteenth century, understanding of scientific work had begun to polarize into two epistemological conditions, which physicist and philosopher Hans Reichenbach later famously named</w:t>
      </w:r>
      <w:r>
        <w:t xml:space="preserve"> </w:t>
      </w:r>
      <w:r>
        <w:t xml:space="preserve">“</w:t>
      </w:r>
      <w:r>
        <w:t xml:space="preserve">the context of discovery</w:t>
      </w:r>
      <w:r>
        <w:t xml:space="preserve">”</w:t>
      </w:r>
      <w:r>
        <w:t xml:space="preserve"> </w:t>
      </w:r>
      <w:r>
        <w:t xml:space="preserve">and</w:t>
      </w:r>
      <w:r>
        <w:t xml:space="preserve"> </w:t>
      </w:r>
      <w:r>
        <w:t xml:space="preserve">“</w:t>
      </w:r>
      <w:r>
        <w:t xml:space="preserve">the context of justification.</w:t>
      </w:r>
      <w:r>
        <w:t xml:space="preserve">”</w:t>
      </w:r>
      <w:r>
        <w:rPr>
          <w:rStyle w:val="FootnoteReference"/>
        </w:rPr>
        <w:footnoteReference w:id="51"/>
      </w:r>
      <w:r>
        <w:t xml:space="preserve"> </w:t>
      </w:r>
      <w:r>
        <w:t xml:space="preserve">By the early to mid-twentieth century, attention had shifted almost completely to justification and so, as Thomas Nickels has said, discovery was expelled from mainstream epistemology (2000: 87). Experiment, the means of discovery, was in consequence also demoted and theory, the focus of justification, promoted.</w:t>
      </w:r>
      <w:r>
        <w:t xml:space="preserve"> </w:t>
      </w:r>
      <w:r>
        <w:t xml:space="preserve">“</w:t>
      </w:r>
      <w:r>
        <w:t xml:space="preserve">The asymmetric emphasis on theory in the historical literature</w:t>
      </w:r>
      <w:r>
        <w:t xml:space="preserve">”</w:t>
      </w:r>
      <w:r>
        <w:t xml:space="preserve">, Peter Galison explains, meant that attention was confined</w:t>
      </w:r>
      <w:r>
        <w:t xml:space="preserve"> </w:t>
      </w:r>
      <w:r>
        <w:t xml:space="preserve">“</w:t>
      </w:r>
      <w:r>
        <w:t xml:space="preserve">to the invention and testing of theories</w:t>
      </w:r>
      <w:r>
        <w:t xml:space="preserve">”</w:t>
      </w:r>
      <w:r>
        <w:t xml:space="preserve"> </w:t>
      </w:r>
      <w:r>
        <w:t xml:space="preserve">(1987: 8), the actual conduct and intellectual role of experiments being largely overlooked. In philosophy too,</w:t>
      </w:r>
      <w:r>
        <w:t xml:space="preserve"> </w:t>
      </w:r>
      <w:r>
        <w:t xml:space="preserve">“</w:t>
      </w:r>
      <w:r>
        <w:t xml:space="preserve">experiment for theory</w:t>
      </w:r>
      <w:r>
        <w:t xml:space="preserve">”</w:t>
      </w:r>
      <w:r>
        <w:t xml:space="preserve"> </w:t>
      </w:r>
      <w:r>
        <w:t xml:space="preserve">dominated until (in Ian Hacking’s paraphrase of Nietzsche) Thomas Kuhn’s The Structure of Scientific Revolutions</w:t>
      </w:r>
      <w:r>
        <w:t xml:space="preserve"> </w:t>
      </w:r>
      <w:r>
        <w:t xml:space="preserve">“</w:t>
      </w:r>
      <w:r>
        <w:t xml:space="preserve">unwrapped the mummy of science</w:t>
      </w:r>
      <w:r>
        <w:t xml:space="preserve">”</w:t>
      </w:r>
      <w:r>
        <w:t xml:space="preserve"> </w:t>
      </w:r>
      <w:r>
        <w:t xml:space="preserve">by historicizing it (Hacking 1983: If) – What had actually always been happening in experimental work could then become a proper subject of investigation. Furthermore, Kuhn’s ample demonstration of</w:t>
      </w:r>
      <w:r>
        <w:t xml:space="preserve"> </w:t>
      </w:r>
      <w:r>
        <w:t xml:space="preserve">“</w:t>
      </w:r>
      <w:r>
        <w:t xml:space="preserve">the essential role theory plays in the conduct of experimentation, the interpretation of data, and in the definition of</w:t>
      </w:r>
      <w:r>
        <w:t xml:space="preserve"> </w:t>
      </w:r>
      <w:r>
        <w:t xml:space="preserve">‘</w:t>
      </w:r>
      <w:r>
        <w:t xml:space="preserve">relevant</w:t>
      </w:r>
      <w:r>
        <w:t xml:space="preserve">’</w:t>
      </w:r>
      <w:r>
        <w:t xml:space="preserve"> </w:t>
      </w:r>
      <w:r>
        <w:t xml:space="preserve">phenomena</w:t>
      </w:r>
      <w:r>
        <w:t xml:space="preserve">”</w:t>
      </w:r>
      <w:r>
        <w:t xml:space="preserve"> </w:t>
      </w:r>
      <w:r>
        <w:t xml:space="preserve">depolarized theory and experiment (Galison 1987: 80- In other words, from an entirely subordinate and observational role, experiment emerged alongside theory as an interdependent partner.</w:t>
      </w:r>
    </w:p>
    <w:p>
      <w:pPr>
        <w:pStyle w:val="BodyText"/>
      </w:pPr>
      <w:r>
        <w:t xml:space="preserve">Subsequently, through the work of Hacking, Feyerabend, Galison, and several others, the fiction of a unitary</w:t>
      </w:r>
      <w:r>
        <w:t xml:space="preserve"> </w:t>
      </w:r>
      <w:r>
        <w:t xml:space="preserve">“</w:t>
      </w:r>
      <w:r>
        <w:t xml:space="preserve">scientific method</w:t>
      </w:r>
      <w:r>
        <w:t xml:space="preserve">”</w:t>
      </w:r>
      <w:r>
        <w:t xml:space="preserve">, in which theory cleanly defines the role of experiment, has been dispelled. As Hacking says, calling for a</w:t>
      </w:r>
      <w:r>
        <w:t xml:space="preserve"> </w:t>
      </w:r>
      <w:r>
        <w:t xml:space="preserve">“</w:t>
      </w:r>
      <w:r>
        <w:t xml:space="preserve">Back-to-Bacon</w:t>
      </w:r>
      <w:r>
        <w:t xml:space="preserve">”</w:t>
      </w:r>
      <w:r>
        <w:t xml:space="preserve"> </w:t>
      </w:r>
      <w:r>
        <w:t xml:space="preserve">movement,</w:t>
      </w:r>
      <w:r>
        <w:t xml:space="preserve"> </w:t>
      </w:r>
      <w:r>
        <w:t xml:space="preserve">“</w:t>
      </w:r>
      <w:r>
        <w:t xml:space="preserve">Experiment has a life of its own</w:t>
      </w:r>
      <w:r>
        <w:t xml:space="preserve">”</w:t>
      </w:r>
      <w:r>
        <w:t xml:space="preserve"> </w:t>
      </w:r>
      <w:r>
        <w:t xml:space="preserve">(1983: 150), sometimes preceded by theory, sometimes not. But the consequent liberation of experiment from the debilitating pretense of grubby handmaiden to</w:t>
      </w:r>
      <w:r>
        <w:t xml:space="preserve"> </w:t>
      </w:r>
      <w:r>
        <w:t xml:space="preserve">“</w:t>
      </w:r>
      <w:r>
        <w:t xml:space="preserve">pure</w:t>
      </w:r>
      <w:r>
        <w:t xml:space="preserve">”</w:t>
      </w:r>
      <w:r>
        <w:t xml:space="preserve"> </w:t>
      </w:r>
      <w:r>
        <w:t xml:space="preserve">theory has at the same time directed attention back to the very hard, old problem of discovery: how does this happen?</w:t>
      </w:r>
    </w:p>
    <w:p>
      <w:pPr>
        <w:pStyle w:val="Heading1"/>
      </w:pPr>
      <w:bookmarkStart w:id="52" w:name="conclusion"/>
      <w:r>
        <w:t xml:space="preserve">Conclusion</w:t>
      </w:r>
      <w:bookmarkEnd w:id="52"/>
    </w:p>
    <w:p>
      <w:pPr>
        <w:pStyle w:val="FirstParagraph"/>
      </w:pPr>
      <w:r>
        <w:t xml:space="preserve">Why do we 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 of as well as in 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 intellection of praxis to which the next stage in the argument I have begun here must turn.</w:t>
      </w:r>
    </w:p>
    <w:p>
      <w:pPr>
        <w:pStyle w:val="Heading1"/>
      </w:pPr>
      <w:bookmarkStart w:id="53" w:name="note"/>
      <w:r>
        <w:t xml:space="preserve">Note</w:t>
      </w:r>
      <w:bookmarkEnd w:id="53"/>
    </w:p>
    <w:p>
      <w:pPr>
        <w:pStyle w:val="FirstParagraph"/>
      </w:pPr>
      <w:r>
        <w:t xml:space="preserve">[^]:9 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p>
      <w:pPr>
        <w:pStyle w:val="Heading1"/>
      </w:pPr>
      <w:bookmarkStart w:id="54" w:name="bibliography"/>
      <w:r>
        <w:t xml:space="preserve">Bibliography</w:t>
      </w:r>
      <w:bookmarkEnd w:id="54"/>
    </w:p>
    <w:bookmarkStart w:id="74" w:name="refs"/>
    <w:bookmarkStart w:id="55" w:name="ref-achinstein_concepts_1968"/>
    <w:p>
      <w:pPr>
        <w:pStyle w:val="Bibliography"/>
      </w:pPr>
      <w:r>
        <w:t xml:space="preserve">Achinstein, Peter. 1968.</w:t>
      </w:r>
      <w:r>
        <w:t xml:space="preserve"> </w:t>
      </w:r>
      <w:r>
        <w:rPr>
          <w:i/>
        </w:rPr>
        <w:t xml:space="preserve">Concepts of Science: A Philosophical Analysis</w:t>
      </w:r>
      <w:r>
        <w:t xml:space="preserve">. Baltimore, Md: Johns Hopkins University Press.</w:t>
      </w:r>
    </w:p>
    <w:bookmarkEnd w:id="55"/>
    <w:bookmarkStart w:id="56" w:name="ref-cartwright_how_2002"/>
    <w:p>
      <w:pPr>
        <w:pStyle w:val="Bibliography"/>
      </w:pPr>
      <w:r>
        <w:t xml:space="preserve">Cartwright, Nancy. 2002.</w:t>
      </w:r>
      <w:r>
        <w:t xml:space="preserve"> </w:t>
      </w:r>
      <w:r>
        <w:rPr>
          <w:i/>
        </w:rPr>
        <w:t xml:space="preserve">How the Laws of Physics Lie</w:t>
      </w:r>
      <w:r>
        <w:t xml:space="preserve">. Oxford: Clarendon Press.</w:t>
      </w:r>
    </w:p>
    <w:bookmarkEnd w:id="56"/>
    <w:bookmarkStart w:id="57" w:name="ref-fetzer_role_1999"/>
    <w:p>
      <w:pPr>
        <w:pStyle w:val="Bibliography"/>
      </w:pPr>
      <w:r>
        <w:t xml:space="preserve">Fetzer, James H, and Sherwood J. B Sugden. 1999. “The Role of Models in Computer Science.”</w:t>
      </w:r>
      <w:r>
        <w:t xml:space="preserve"> </w:t>
      </w:r>
      <w:r>
        <w:rPr>
          <w:i/>
        </w:rPr>
        <w:t xml:space="preserve">Monist</w:t>
      </w:r>
      <w:r>
        <w:t xml:space="preserve"> </w:t>
      </w:r>
      <w:r>
        <w:t xml:space="preserve">82 (1):20–36.</w:t>
      </w:r>
    </w:p>
    <w:bookmarkEnd w:id="57"/>
    <w:bookmarkStart w:id="58" w:name="ref-finley_ancient_1986"/>
    <w:p>
      <w:pPr>
        <w:pStyle w:val="Bibliography"/>
      </w:pPr>
      <w:r>
        <w:t xml:space="preserve">Finley, M. I. 1986.</w:t>
      </w:r>
      <w:r>
        <w:t xml:space="preserve"> </w:t>
      </w:r>
      <w:r>
        <w:rPr>
          <w:i/>
        </w:rPr>
        <w:t xml:space="preserve">Ancient History: Evidence and Models</w:t>
      </w:r>
      <w:r>
        <w:t xml:space="preserve">. London: Viking.</w:t>
      </w:r>
    </w:p>
    <w:bookmarkEnd w:id="58"/>
    <w:bookmarkStart w:id="59" w:name="ref-geertz_interpretation_2017"/>
    <w:p>
      <w:pPr>
        <w:pStyle w:val="Bibliography"/>
      </w:pPr>
      <w:r>
        <w:t xml:space="preserve">Geertz, Clifford, and Robert Darnton. 2017.</w:t>
      </w:r>
      <w:r>
        <w:t xml:space="preserve"> </w:t>
      </w:r>
      <w:r>
        <w:rPr>
          <w:i/>
        </w:rPr>
        <w:t xml:space="preserve">The Interpretation of Cultures: Selected Essays</w:t>
      </w:r>
      <w:r>
        <w:t xml:space="preserve">.</w:t>
      </w:r>
    </w:p>
    <w:bookmarkEnd w:id="59"/>
    <w:bookmarkStart w:id="60" w:name="ref-gentner_dedre_analogy_2002"/>
    <w:p>
      <w:pPr>
        <w:pStyle w:val="Bibliography"/>
      </w:pPr>
      <w:r>
        <w:t xml:space="preserve">Gentner, Dedre. 2002. “Analogy in Scientific Discovery. The Case of Johannes Kepler.” In, edited by Lorenzo Magnani and Nancy J Nersessian, 21–39.</w:t>
      </w:r>
    </w:p>
    <w:bookmarkEnd w:id="60"/>
    <w:bookmarkStart w:id="61" w:name="ref-goodman_languages_1976"/>
    <w:p>
      <w:pPr>
        <w:pStyle w:val="Bibliography"/>
      </w:pPr>
      <w:r>
        <w:t xml:space="preserve">Goodman, Nelson. 1976.</w:t>
      </w:r>
      <w:r>
        <w:t xml:space="preserve"> </w:t>
      </w:r>
      <w:r>
        <w:rPr>
          <w:i/>
        </w:rPr>
        <w:t xml:space="preserve">Languages of Art: An Approach to a Theory of Symbols</w:t>
      </w:r>
      <w:r>
        <w:t xml:space="preserve">. S.L.: Hackett Publishing Comp.</w:t>
      </w:r>
    </w:p>
    <w:bookmarkEnd w:id="61"/>
    <w:bookmarkStart w:id="62" w:name="ref-freudenthal_model_1961"/>
    <w:p>
      <w:pPr>
        <w:pStyle w:val="Bibliography"/>
      </w:pPr>
      <w:r>
        <w:t xml:space="preserve">Groenewold, H. J. 1961. “The Model in Physics.” In</w:t>
      </w:r>
      <w:r>
        <w:t xml:space="preserve"> </w:t>
      </w:r>
      <w:r>
        <w:rPr>
          <w:i/>
        </w:rPr>
        <w:t xml:space="preserve">The Concept and the Role of the Model in Mathematics and Natural and Social Sciences: Proceedings of the Colloquium ... Organized at Utrecht, January 1960 by Hans Freudenthal.</w:t>
      </w:r>
      <w:r>
        <w:t xml:space="preserve">, edited by Hans Freudenthal, 98–103. Dordrecht: Reidel.</w:t>
      </w:r>
    </w:p>
    <w:bookmarkEnd w:id="62"/>
    <w:bookmarkStart w:id="63" w:name="ref-hoffman_monster_1995"/>
    <w:p>
      <w:pPr>
        <w:pStyle w:val="Bibliography"/>
      </w:pPr>
      <w:r>
        <w:t xml:space="preserve">Hoffman, Robert R. 1995. “Monster Analogies.”</w:t>
      </w:r>
      <w:r>
        <w:t xml:space="preserve"> </w:t>
      </w:r>
      <w:r>
        <w:rPr>
          <w:i/>
        </w:rPr>
        <w:t xml:space="preserve">AI Magazine</w:t>
      </w:r>
      <w:r>
        <w:t xml:space="preserve"> </w:t>
      </w:r>
      <w:r>
        <w:t xml:space="preserve">16 (3):11–35.</w:t>
      </w:r>
    </w:p>
    <w:bookmarkEnd w:id="63"/>
    <w:bookmarkStart w:id="64" w:name="ref-shanin_models_2001-1"/>
    <w:p>
      <w:pPr>
        <w:pStyle w:val="Bibliography"/>
      </w:pPr>
      <w:r>
        <w:t xml:space="preserve">Leff, Gordon. 2001. “Models Inherent in History.” In</w:t>
      </w:r>
      <w:r>
        <w:t xml:space="preserve"> </w:t>
      </w:r>
      <w:r>
        <w:rPr>
          <w:i/>
        </w:rPr>
        <w:t xml:space="preserve">The Rules of the Game: Cross-Disciplinary Essays on Models in Scholarly Thought</w:t>
      </w:r>
      <w:r>
        <w:t xml:space="preserve">, edited by Teodor Shanin, 148–74. London: Routledge.</w:t>
      </w:r>
    </w:p>
    <w:bookmarkEnd w:id="64"/>
    <w:bookmarkStart w:id="65" w:name="ref-minsky_matter_1995"/>
    <w:p>
      <w:pPr>
        <w:pStyle w:val="Bibliography"/>
      </w:pPr>
      <w:r>
        <w:t xml:space="preserve">Minsky, Marvin. 1995. “Matter, Mind and Models.”</w:t>
      </w:r>
      <w:r>
        <w:t xml:space="preserve"> </w:t>
      </w:r>
      <w:r>
        <w:rPr>
          <w:i/>
        </w:rPr>
        <w:t xml:space="preserve">Semantic Processing Models</w:t>
      </w:r>
      <w:r>
        <w:t xml:space="preserve">, 181–95.</w:t>
      </w:r>
    </w:p>
    <w:bookmarkEnd w:id="65"/>
    <w:bookmarkStart w:id="66" w:name="ref-franck_role_2002"/>
    <w:p>
      <w:pPr>
        <w:pStyle w:val="Bibliography"/>
      </w:pPr>
      <w:r>
        <w:t xml:space="preserve">Mironesco, Christine. 2002. “The Role of Models in Comparative Politics.” In</w:t>
      </w:r>
      <w:r>
        <w:t xml:space="preserve"> </w:t>
      </w:r>
      <w:r>
        <w:rPr>
          <w:i/>
        </w:rPr>
        <w:t xml:space="preserve">The Explanatory Power of Models: Bridging the Gap Between Empirical and Theoretical Research in the Social Sciences</w:t>
      </w:r>
      <w:r>
        <w:t xml:space="preserve">, edited by Robert Franck, 181–95. Dordrecht: Kluwer.</w:t>
      </w:r>
    </w:p>
    <w:bookmarkEnd w:id="66"/>
    <w:bookmarkStart w:id="67" w:name="ref-craig_experiment_1998"/>
    <w:p>
      <w:pPr>
        <w:pStyle w:val="Bibliography"/>
      </w:pPr>
      <w:r>
        <w:t xml:space="preserve">Morrison, Margaret. 1998. “Experiment.” In</w:t>
      </w:r>
      <w:r>
        <w:t xml:space="preserve"> </w:t>
      </w:r>
      <w:r>
        <w:rPr>
          <w:i/>
        </w:rPr>
        <w:t xml:space="preserve">Routledge Encyclopedia of Philosophy</w:t>
      </w:r>
      <w:r>
        <w:t xml:space="preserve">, edited by Edward Craig and Routledge (Firm). London; New York: Routledge.</w:t>
      </w:r>
    </w:p>
    <w:bookmarkEnd w:id="67"/>
    <w:bookmarkStart w:id="68" w:name="ref-polani_tacit_2011"/>
    <w:p>
      <w:pPr>
        <w:pStyle w:val="Bibliography"/>
      </w:pPr>
      <w:r>
        <w:t xml:space="preserve">Polani, Michael. 2011.</w:t>
      </w:r>
      <w:r>
        <w:t xml:space="preserve"> </w:t>
      </w:r>
      <w:r>
        <w:rPr>
          <w:i/>
        </w:rPr>
        <w:t xml:space="preserve">The Tacit Dimension</w:t>
      </w:r>
      <w:r>
        <w:t xml:space="preserve">. Chicago, Ill: University of Chicago Press.</w:t>
      </w:r>
    </w:p>
    <w:bookmarkEnd w:id="68"/>
    <w:bookmarkStart w:id="69" w:name="ref-johnson_limits_1995"/>
    <w:p>
      <w:pPr>
        <w:pStyle w:val="Bibliography"/>
      </w:pPr>
      <w:r>
        <w:t xml:space="preserve">Smith, Brian Cantwell. 1995. “Limits of Correctness in Computers.” In</w:t>
      </w:r>
      <w:r>
        <w:t xml:space="preserve"> </w:t>
      </w:r>
      <w:r>
        <w:rPr>
          <w:i/>
        </w:rPr>
        <w:t xml:space="preserve">Computers, Ethics &amp; Social Values</w:t>
      </w:r>
      <w:r>
        <w:t xml:space="preserve">, edited by Deborah G Johnson and Helen Fay Nissenbaum, 456–69. Englewood Cliffs, N.J.: Prentice Hall.</w:t>
      </w:r>
    </w:p>
    <w:bookmarkEnd w:id="69"/>
    <w:bookmarkStart w:id="70" w:name="ref-sowa_knowledge_2000"/>
    <w:p>
      <w:pPr>
        <w:pStyle w:val="Bibliography"/>
      </w:pPr>
      <w:r>
        <w:t xml:space="preserve">Sowa, John F, Thomson Course Technology, and Cengage Learning. 2000.</w:t>
      </w:r>
      <w:r>
        <w:t xml:space="preserve"> </w:t>
      </w:r>
      <w:r>
        <w:rPr>
          <w:i/>
        </w:rPr>
        <w:t xml:space="preserve">Knowledge Representation: Logical, Philosophical, and Computational Foundations</w:t>
      </w:r>
      <w:r>
        <w:t xml:space="preserve">. Pacific Grove CA.: Brooks/Cole.</w:t>
      </w:r>
    </w:p>
    <w:bookmarkEnd w:id="70"/>
    <w:bookmarkStart w:id="71" w:name="ref-toulmin_philosophy_1958"/>
    <w:p>
      <w:pPr>
        <w:pStyle w:val="Bibliography"/>
      </w:pPr>
      <w:r>
        <w:t xml:space="preserve">Toulmin, Stephen. 1958.</w:t>
      </w:r>
      <w:r>
        <w:t xml:space="preserve"> </w:t>
      </w:r>
      <w:r>
        <w:rPr>
          <w:i/>
        </w:rPr>
        <w:t xml:space="preserve">The Philosophy of Science</w:t>
      </w:r>
      <w:r>
        <w:t xml:space="preserve">. London: Hutchinson University Library.</w:t>
      </w:r>
    </w:p>
    <w:bookmarkEnd w:id="71"/>
    <w:bookmarkStart w:id="72" w:name="ref-williams_problems_2011"/>
    <w:p>
      <w:pPr>
        <w:pStyle w:val="Bibliography"/>
      </w:pPr>
      <w:r>
        <w:t xml:space="preserve">Williams, Michael. 2011.</w:t>
      </w:r>
      <w:r>
        <w:t xml:space="preserve"> </w:t>
      </w:r>
      <w:r>
        <w:rPr>
          <w:i/>
        </w:rPr>
        <w:t xml:space="preserve">Problems of Knowledge: A Critical Introduction to Epistemology</w:t>
      </w:r>
      <w:r>
        <w:t xml:space="preserve">. Oxford: University Press.</w:t>
      </w:r>
    </w:p>
    <w:bookmarkEnd w:id="72"/>
    <w:bookmarkStart w:id="73" w:name="ref-ziman_real_2008"/>
    <w:p>
      <w:pPr>
        <w:pStyle w:val="Bibliography"/>
      </w:pPr>
      <w:r>
        <w:t xml:space="preserve">Ziman, John M. 2008.</w:t>
      </w:r>
      <w:r>
        <w:t xml:space="preserve"> </w:t>
      </w:r>
      <w:r>
        <w:rPr>
          <w:i/>
        </w:rPr>
        <w:t xml:space="preserve">Real Science: What It Is, and What It Means</w:t>
      </w:r>
      <w:r>
        <w:t xml:space="preserve">. Cambridge: Cambridge Univ. Press.</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w:t>
      </w:r>
      <w:r>
        <w:t xml:space="preserve"> </w:t>
      </w:r>
      <w:r>
        <w:t xml:space="preserve">“</w:t>
      </w:r>
      <w:r>
        <w:t xml:space="preserve">Models as Mediating Instruments</w:t>
      </w:r>
      <w:r>
        <w:t xml:space="preserve">”</w:t>
      </w:r>
      <w:r>
        <w:t xml:space="preserve"> </w:t>
      </w:r>
      <w:r>
        <w:t xml:space="preserve">(pp. 10–37). For an overview see Lloyd (1998).</w:t>
      </w:r>
    </w:p>
  </w:footnote>
  <w:footnote w:id="23">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4">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footnote>
  <w:footnote w:id="27">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footnote>
  <w:footnote w:id="29">
    <w:p>
      <w:pPr>
        <w:pStyle w:val="FootnoteText"/>
      </w:pPr>
      <w:r>
        <w:rPr>
          <w:rStyle w:val="FootnoteReference"/>
        </w:rPr>
        <w:footnoteRef/>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31">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32">
    <w:p>
      <w:pPr>
        <w:pStyle w:val="FootnoteText"/>
      </w:pPr>
      <w:r>
        <w:rPr>
          <w:rStyle w:val="FootnoteReference"/>
        </w:rPr>
        <w:footnoteRef/>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p>
  </w:footnote>
  <w:footnote w:id="33">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footnote>
  <w:footnote w:id="34">
    <w:p>
      <w:pPr>
        <w:pStyle w:val="FootnoteText"/>
      </w:pPr>
      <w:r>
        <w:rPr>
          <w:rStyle w:val="FootnoteReference"/>
        </w:rPr>
        <w:footnoteRef/>
      </w:r>
      <w:r>
        <w:t xml:space="preserve"> </w:t>
      </w:r>
      <w:r>
        <w:t xml:space="preserve">Winograd and Flores (1986: 97–100, 131–3, 174–7); Dreyfus (1985). See also Brooks (1991).</w:t>
      </w:r>
    </w:p>
  </w:footnote>
  <w:footnote w:id="36">
    <w:p>
      <w:pPr>
        <w:pStyle w:val="FootnoteText"/>
      </w:pPr>
      <w:r>
        <w:rPr>
          <w:rStyle w:val="FootnoteReference"/>
        </w:rPr>
        <w:footnoteRef/>
      </w:r>
      <w:r>
        <w:t xml:space="preserve"> </w:t>
      </w:r>
      <w:r>
        <w:t xml:space="preserve">See, however, the discussion in Netz (1999: 35–8).</w:t>
      </w:r>
    </w:p>
  </w:footnote>
  <w:footnote w:id="37">
    <w:p>
      <w:pPr>
        <w:pStyle w:val="FootnoteText"/>
      </w:pPr>
      <w:r>
        <w:rPr>
          <w:rStyle w:val="FootnoteReference"/>
        </w:rPr>
        <w:footnoteRef/>
      </w:r>
      <w:r>
        <w:t xml:space="preserve"> </w:t>
      </w:r>
      <w:r>
        <w:t xml:space="preserve">Goodman (1976: 170f), who distinguishes between analogue and digital diagrams. As Netz explains, the lettered diagram provides a good example of the latter (1999: 34f).</w:t>
      </w:r>
    </w:p>
  </w:footnote>
  <w:footnote w:id="38">
    <w:p>
      <w:pPr>
        <w:pStyle w:val="FootnoteText"/>
      </w:pPr>
      <w:r>
        <w:rPr>
          <w:rStyle w:val="FootnoteReference"/>
        </w:rPr>
        <w:footnoteRef/>
      </w:r>
      <w:r>
        <w:t xml:space="preserve"> </w:t>
      </w:r>
      <w:r>
        <w:t xml:space="preserve">Shin and Lemon (2002); note the extensive bibliography.</w:t>
      </w:r>
    </w:p>
  </w:footnote>
  <w:footnote w:id="40">
    <w:p>
      <w:pPr>
        <w:pStyle w:val="FootnoteText"/>
      </w:pPr>
      <w:r>
        <w:rPr>
          <w:rStyle w:val="FootnoteReference"/>
        </w:rPr>
        <w:footnoteRef/>
      </w:r>
      <w:r>
        <w:t xml:space="preserve"> </w:t>
      </w:r>
      <w:r>
        <w:t xml:space="preserve">Robinson and Petchenik (1976); see also Monmonier (1996); Wood (1992). Turnbull (1994) argues specifically for the link between maps and theories.</w:t>
      </w:r>
    </w:p>
  </w:footnote>
  <w:footnote w:id="41">
    <w:p>
      <w:pPr>
        <w:pStyle w:val="FootnoteText"/>
      </w:pPr>
      <w:r>
        <w:rPr>
          <w:rStyle w:val="FootnoteReference"/>
        </w:rPr>
        <w:footnoteRef/>
      </w:r>
      <w:r>
        <w:t xml:space="preserve"> </w:t>
      </w:r>
      <w:r>
        <w:t xml:space="preserve">See Bateson (2002: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(1972: 15); Kent (2000/1978: xix).</w:t>
      </w:r>
    </w:p>
  </w:footnote>
  <w:footnote w:id="43">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 (2002), who also stresses the necessity of including the designer or initiator as part of the simulation.</w:t>
      </w:r>
    </w:p>
  </w:footnote>
  <w:footnote w:id="44">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t xml:space="preserve">(OED 1 .a., 2) – an animated trompe l’oeil.</w:t>
      </w:r>
    </w:p>
  </w:footnote>
  <w:footnote w:id="45">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 (see, e.g., Markman and Dietrich 2000; Davies and Stone 2000).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footnote>
  <w:footnote w:id="46">
    <w:p>
      <w:pPr>
        <w:pStyle w:val="FootnoteText"/>
      </w:pPr>
      <w:r>
        <w:rPr>
          <w:rStyle w:val="FootnoteReference"/>
        </w:rPr>
        <w:footnoteRef/>
      </w:r>
      <w:r>
        <w:t xml:space="preserve"> </w:t>
      </w:r>
      <w:r>
        <w:t xml:space="preserve">Rowe (1994), quoted by Burch (2002: 245); see also Winsberg (2001).</w:t>
      </w:r>
    </w:p>
  </w:footnote>
  <w:footnote w:id="48">
    <w:p>
      <w:pPr>
        <w:pStyle w:val="FootnoteText"/>
      </w:pPr>
      <w:r>
        <w:rPr>
          <w:rStyle w:val="FootnoteReference"/>
        </w:rPr>
        <w:footnoteRef/>
      </w:r>
      <w:r>
        <w:t xml:space="preserve"> </w:t>
      </w:r>
      <w:r>
        <w:t xml:space="preserve">This is true for scientific experiment much more often and more significantly than popular and earlier philosophical accounts would have us believe. Ian Hacking illustrates the point in an illuminating discussion of the famous Michelson-Morley experiment,</w:t>
      </w:r>
      <w:r>
        <w:t xml:space="preserve"> </w:t>
      </w:r>
      <w:r>
        <w:t xml:space="preserve">“</w:t>
      </w:r>
      <w:r>
        <w:t xml:space="preserve">a good example of the Baconian exploration of nature</w:t>
      </w:r>
      <w:r>
        <w:t xml:space="preserve">”</w:t>
      </w:r>
      <w:r>
        <w:t xml:space="preserve"> </w:t>
      </w:r>
      <w:r>
        <w:t xml:space="preserve">(1983: 254); see his discription (1983: 253–61), and esp. the book as a whole. See also Gooding (2000) and Morrison (1998) for an overview of experiment in current philosophy of science; the triplet of articles presented at a symposium on</w:t>
      </w:r>
      <w:r>
        <w:t xml:space="preserve"> </w:t>
      </w:r>
      <w:r>
        <w:t xml:space="preserve">“</w:t>
      </w:r>
      <w:r>
        <w:t xml:space="preserve">The Philosophical Significance of Experimentation</w:t>
      </w:r>
      <w:r>
        <w:t xml:space="preserve">”</w:t>
      </w:r>
      <w:r>
        <w:t xml:space="preserve">, Hacking (1988), Heelan (1988), and Galison (1988); and Franklin (2002) for physics in particular.</w:t>
      </w:r>
    </w:p>
  </w:footnote>
  <w:footnote w:id="49">
    <w:p>
      <w:pPr>
        <w:pStyle w:val="FootnoteText"/>
      </w:pPr>
      <w:r>
        <w:rPr>
          <w:rStyle w:val="FootnoteReference"/>
        </w:rPr>
        <w:footnoteRef/>
      </w:r>
      <w:r>
        <w:t xml:space="preserve"> </w:t>
      </w:r>
      <w:r>
        <w:t xml:space="preserve">See also Brown (2000), Gooding (1998) and note esp. the careful argument in Kuhn (1964) toward an understanding of how thought experiment can lead to new knowledge, not simply expose logical contradictions or confusions.</w:t>
      </w:r>
    </w:p>
  </w:footnote>
  <w:footnote w:id="50">
    <w:p>
      <w:pPr>
        <w:pStyle w:val="FootnoteText"/>
      </w:pPr>
      <w:r>
        <w:rPr>
          <w:rStyle w:val="FootnoteReference"/>
        </w:rPr>
        <w:footnoteRef/>
      </w:r>
      <w:r>
        <w:t xml:space="preserve"> </w:t>
      </w:r>
      <w:r>
        <w:t xml:space="preserve">I rely primarily on Galison (1987), Hacking (1983) and Nickels (2000).</w:t>
      </w:r>
    </w:p>
  </w:footnote>
  <w:footnote w:id="51">
    <w:p>
      <w:pPr>
        <w:pStyle w:val="FootnoteText"/>
      </w:pPr>
      <w:r>
        <w:rPr>
          <w:rStyle w:val="FootnoteReference"/>
        </w:rPr>
        <w:footnoteRef/>
      </w:r>
      <w:r>
        <w:t xml:space="preserve"> </w:t>
      </w:r>
      <w:r>
        <w:t xml:space="preserve">Reichenbach introduced the distinction to mark</w:t>
      </w:r>
      <w:r>
        <w:t xml:space="preserve"> </w:t>
      </w:r>
      <w:r>
        <w:t xml:space="preserve">“</w:t>
      </w:r>
      <w:r>
        <w:t xml:space="preserve">the well-known difference</w:t>
      </w:r>
      <w:r>
        <w:t xml:space="preserve">”</w:t>
      </w:r>
      <w:r>
        <w:t xml:space="preserve"> </w:t>
      </w:r>
      <w:r>
        <w:t xml:space="preserve">between</w:t>
      </w:r>
      <w:r>
        <w:t xml:space="preserve"> </w:t>
      </w:r>
      <w:r>
        <w:t xml:space="preserve">“</w:t>
      </w:r>
      <w:r>
        <w:t xml:space="preserve">the form in which thinking processes are communicated to other persons [and] the form in which they are subjectively performed</w:t>
      </w:r>
      <w:r>
        <w:t xml:space="preserve">”</w:t>
      </w:r>
      <w:r>
        <w:t xml:space="preserve">, i.e., justification and discovery, respectively (Reichenbach 1938, chapter 1); compare Feyerabend (1993: 147–58). This distinction involves a long-standing argument that goes back to the debate between William Whewell (first to use the term</w:t>
      </w:r>
      <w:r>
        <w:t xml:space="preserve"> </w:t>
      </w:r>
      <w:r>
        <w:t xml:space="preserve">“</w:t>
      </w:r>
      <w:r>
        <w:t xml:space="preserve">philosophy of science</w:t>
      </w:r>
      <w:r>
        <w:t xml:space="preserve">”</w:t>
      </w:r>
      <w:r>
        <w:t xml:space="preserve">) and John Stuart Mill; it was then taken up by Charles Sanders Peirce on the one hand and Karl Popper on the other. Popper, in Logik der Forschung (translated as The Logic of Scientific Discovery) characteristically ruled discovery out of court by identifying it as a matter for psychology, recalling Duhem’s and Reichenbach’s use of that term:</w:t>
      </w:r>
      <w:r>
        <w:t xml:space="preserve"> </w:t>
      </w:r>
      <w:r>
        <w:t xml:space="preserve">“</w:t>
      </w:r>
      <w:r>
        <w:t xml:space="preserve">The question of how it happens that a new idea occurs to a man … may be of great interest to empirical psychology; but it is irrelevant to the logical analysis of scientific knowledge</w:t>
      </w:r>
      <w:r>
        <w:t xml:space="preserve">”</w:t>
      </w:r>
      <w:r>
        <w:t xml:space="preserve"> </w:t>
      </w:r>
      <w:r>
        <w:t xml:space="preserve">(Popper 1959/1935: 7). See Nickels (2000).</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2018-04-17T10:39:24Z</dcterms:created>
  <dcterms:modified xsi:type="dcterms:W3CDTF">2018-04-17T10:39:24Z</dcterms:modified>
</cp:coreProperties>
</file>