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A653" w14:textId="5646827D" w:rsidR="0079033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1. Long Version</w:t>
      </w:r>
    </w:p>
    <w:p w14:paraId="7ED6B715"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1.1 Predictive Modeling Framework and Pipeline Architecture</w:t>
      </w:r>
    </w:p>
    <w:p w14:paraId="0E3AA76E"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facilitate rigorous out-of-sample inference and guarantee predictive generalizability across heterogeneous target spaces—encompassing continuous, binary, and multiclass variables—an automated and dynamically configurable machine learning (AutoML) architecture was established. For each designated target dimension, the feature space (</w:t>
      </w:r>
      <w:r>
        <w:rPr>
          <w:rFonts w:ascii="Google Sans" w:eastAsia="Google Sans" w:hAnsi="Google Sans" w:cs="Google Sans"/>
          <w:noProof/>
        </w:rPr>
        <w:drawing>
          <wp:inline distT="19050" distB="19050" distL="19050" distR="19050" wp14:anchorId="298C44FD" wp14:editId="053F7222">
            <wp:extent cx="177641" cy="243088"/>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177641" cy="243088"/>
                    </a:xfrm>
                    <a:prstGeom prst="rect">
                      <a:avLst/>
                    </a:prstGeom>
                    <a:ln/>
                  </pic:spPr>
                </pic:pic>
              </a:graphicData>
            </a:graphic>
          </wp:inline>
        </w:drawing>
      </w:r>
      <w:r>
        <w:rPr>
          <w:rFonts w:ascii="Google Sans" w:eastAsia="Google Sans" w:hAnsi="Google Sans" w:cs="Google Sans"/>
        </w:rPr>
        <w:t>) and corresponding label space (</w:t>
      </w:r>
      <w:r>
        <w:rPr>
          <w:rFonts w:ascii="Google Sans" w:eastAsia="Google Sans" w:hAnsi="Google Sans" w:cs="Google Sans"/>
          <w:noProof/>
        </w:rPr>
        <w:drawing>
          <wp:inline distT="19050" distB="19050" distL="19050" distR="19050" wp14:anchorId="6E0A3C1E" wp14:editId="19B14CD4">
            <wp:extent cx="157322" cy="240609"/>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157322" cy="240609"/>
                    </a:xfrm>
                    <a:prstGeom prst="rect">
                      <a:avLst/>
                    </a:prstGeom>
                    <a:ln/>
                  </pic:spPr>
                </pic:pic>
              </a:graphicData>
            </a:graphic>
          </wp:inline>
        </w:drawing>
      </w:r>
      <w:r>
        <w:rPr>
          <w:rFonts w:ascii="Google Sans" w:eastAsia="Google Sans" w:hAnsi="Google Sans" w:cs="Google Sans"/>
        </w:rPr>
        <w:t>) underwent systematic alignment conditioned upon the presence of valid target values, thereby excluding observations characterized by missing labels. Predictive features were partitioned into four distinct semantic cohorts: continuous, binary, low-cardinality categorical, and high-cardinality categorical variables.</w:t>
      </w:r>
    </w:p>
    <w:p w14:paraId="7B35D1BE"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Methodological preprocessing was dynamically tailored to align with the specific inductive biases of each model class. For regularized linear estimators, feature transformations were administered via a column-wise composition framework structured as follows:</w:t>
      </w:r>
    </w:p>
    <w:p w14:paraId="5ABC5B5C" w14:textId="77777777" w:rsidR="0079033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Continuous Features</w:t>
      </w:r>
      <w:r>
        <w:rPr>
          <w:rFonts w:ascii="Google Sans" w:eastAsia="Google Sans" w:hAnsi="Google Sans" w:cs="Google Sans"/>
        </w:rPr>
        <w:t>: Subjected to median imputation to resolve stochastic missingness while preserving robustness against extreme outliers, followed by standard scaling to establish zero mean and unit variance (</w:t>
      </w:r>
      <w:r>
        <w:rPr>
          <w:rFonts w:ascii="Google Sans" w:eastAsia="Google Sans" w:hAnsi="Google Sans" w:cs="Google Sans"/>
          <w:noProof/>
        </w:rPr>
        <w:drawing>
          <wp:inline distT="19050" distB="19050" distL="19050" distR="19050" wp14:anchorId="41DD134B" wp14:editId="5939F983">
            <wp:extent cx="477362" cy="248228"/>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477362" cy="248228"/>
                    </a:xfrm>
                    <a:prstGeom prst="rect">
                      <a:avLst/>
                    </a:prstGeom>
                    <a:ln/>
                  </pic:spPr>
                </pic:pic>
              </a:graphicData>
            </a:graphic>
          </wp:inline>
        </w:drawing>
      </w:r>
      <w:r>
        <w:rPr>
          <w:rFonts w:ascii="Google Sans" w:eastAsia="Google Sans" w:hAnsi="Google Sans" w:cs="Google Sans"/>
        </w:rPr>
        <w:t xml:space="preserve">, </w:t>
      </w:r>
      <w:r>
        <w:rPr>
          <w:rFonts w:ascii="Google Sans" w:eastAsia="Google Sans" w:hAnsi="Google Sans" w:cs="Google Sans"/>
          <w:noProof/>
        </w:rPr>
        <w:drawing>
          <wp:inline distT="19050" distB="19050" distL="19050" distR="19050" wp14:anchorId="20260B8E" wp14:editId="6E960ED0">
            <wp:extent cx="478155" cy="248641"/>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78155" cy="248641"/>
                    </a:xfrm>
                    <a:prstGeom prst="rect">
                      <a:avLst/>
                    </a:prstGeom>
                    <a:ln/>
                  </pic:spPr>
                </pic:pic>
              </a:graphicData>
            </a:graphic>
          </wp:inline>
        </w:drawing>
      </w:r>
      <w:r>
        <w:rPr>
          <w:rFonts w:ascii="Google Sans" w:eastAsia="Google Sans" w:hAnsi="Google Sans" w:cs="Google Sans"/>
        </w:rPr>
        <w:t>). This standardization is mathematically necessary for regularized linear models to prevent features with larger scales from dominating the objective function's penalty terms.</w:t>
      </w:r>
    </w:p>
    <w:p w14:paraId="0709C3A6" w14:textId="77777777" w:rsidR="0079033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Binary Features</w:t>
      </w:r>
      <w:r>
        <w:rPr>
          <w:rFonts w:ascii="Google Sans" w:eastAsia="Google Sans" w:hAnsi="Google Sans" w:cs="Google Sans"/>
        </w:rPr>
        <w:t>: Resolved via mode imputation (most frequent category) to preserve the discrete binary structure under missing-at-random assumptions, and subsequently standardized using z-score scaling.</w:t>
      </w:r>
    </w:p>
    <w:p w14:paraId="1CA36803" w14:textId="77777777" w:rsidR="0079033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Low-Cardinality Categorical Features</w:t>
      </w:r>
      <w:r>
        <w:rPr>
          <w:rFonts w:ascii="Google Sans" w:eastAsia="Google Sans" w:hAnsi="Google Sans" w:cs="Google Sans"/>
        </w:rPr>
        <w:t>: Imputed using the mode, mapped into orthogonal vector spaces through a one-hot encoding paradigm, and standardized to preserve scale uniformity across the model’s coefficients. This projection maps nominal features without imposing an artificial ordinal relationship.</w:t>
      </w:r>
    </w:p>
    <w:p w14:paraId="43D9F11D" w14:textId="77777777" w:rsidR="0079033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High-Cardinality Categorical Features</w:t>
      </w:r>
      <w:r>
        <w:rPr>
          <w:rFonts w:ascii="Google Sans" w:eastAsia="Google Sans" w:hAnsi="Google Sans" w:cs="Google Sans"/>
        </w:rPr>
        <w:t>: Imputed using the mode and subsequently transformed utilizing a supervised target-encoding scheme. This encoder estimates the conditional expectation of the target variable for each category strictly within the training partitions to prevent data leakage. By converting high-cardinality nominal variables into continuous representations, the target-encoder bypasses the dimensionality explosion and subsequent sparsity challenges associated with one-hot encoding, followed by standard scaling.</w:t>
      </w:r>
    </w:p>
    <w:p w14:paraId="1B03BDF4"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Conversely, for gradient-boosted decision tree architectures and tabular In-Context Learning (ICL) paradigms, explicit geometric scaling and dimensional expansions (such as one-hot encodings) were bypassed in favor of native feature representations. Because decision trees partition the feature space using non-linear, scale-invariant orthogonal splits, standardizing and scaling operations have no mathematical impact on their structural optimization. Under </w:t>
      </w:r>
      <w:r>
        <w:rPr>
          <w:rFonts w:ascii="Google Sans" w:eastAsia="Google Sans" w:hAnsi="Google Sans" w:cs="Google Sans"/>
        </w:rPr>
        <w:lastRenderedPageBreak/>
        <w:t>these non-linear regimes, target encoding was reserved exclusively for high-cardinality categorical dimensions to prevent tree depth exploitation and structural degradation while preserving conditional target probability information.</w:t>
      </w:r>
    </w:p>
    <w:p w14:paraId="799AFA00"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1.2 Model Architectures &amp; Hyperparameter Optimization</w:t>
      </w:r>
    </w:p>
    <w:p w14:paraId="4975D353"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Three distinct family groups of model pipelines were evaluated:</w:t>
      </w:r>
    </w:p>
    <w:p w14:paraId="483904C6" w14:textId="77777777" w:rsidR="0079033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Regularized Linear Models (linear)</w:t>
      </w:r>
      <w:r>
        <w:rPr>
          <w:rFonts w:ascii="Google Sans" w:eastAsia="Google Sans" w:hAnsi="Google Sans" w:cs="Google Sans"/>
        </w:rPr>
        <w:t>:</w:t>
      </w:r>
    </w:p>
    <w:p w14:paraId="4E78EFCD" w14:textId="77777777" w:rsidR="00790334"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rPr>
        <w:t xml:space="preserve">For continuous targets, an Elastic Net regressor was embedded within a target-scaling wrapper to standardize the outcome. Elastic Net optimization combines both </w:t>
      </w:r>
      <w:r>
        <w:rPr>
          <w:rFonts w:ascii="Google Sans" w:eastAsia="Google Sans" w:hAnsi="Google Sans" w:cs="Google Sans"/>
          <w:noProof/>
        </w:rPr>
        <w:drawing>
          <wp:inline distT="19050" distB="19050" distL="19050" distR="19050" wp14:anchorId="0DC345AA" wp14:editId="1754473A">
            <wp:extent cx="211772" cy="250276"/>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211772" cy="250276"/>
                    </a:xfrm>
                    <a:prstGeom prst="rect">
                      <a:avLst/>
                    </a:prstGeom>
                    <a:ln/>
                  </pic:spPr>
                </pic:pic>
              </a:graphicData>
            </a:graphic>
          </wp:inline>
        </w:drawing>
      </w:r>
      <w:r>
        <w:rPr>
          <w:rFonts w:ascii="Google Sans" w:eastAsia="Google Sans" w:hAnsi="Google Sans" w:cs="Google Sans"/>
        </w:rPr>
        <w:t xml:space="preserve"> and </w:t>
      </w:r>
      <w:r>
        <w:rPr>
          <w:rFonts w:ascii="Google Sans" w:eastAsia="Google Sans" w:hAnsi="Google Sans" w:cs="Google Sans"/>
          <w:noProof/>
        </w:rPr>
        <w:drawing>
          <wp:inline distT="19050" distB="19050" distL="19050" distR="19050" wp14:anchorId="173D45F4" wp14:editId="24B158DD">
            <wp:extent cx="211772" cy="250276"/>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211772" cy="250276"/>
                    </a:xfrm>
                    <a:prstGeom prst="rect">
                      <a:avLst/>
                    </a:prstGeom>
                    <a:ln/>
                  </pic:spPr>
                </pic:pic>
              </a:graphicData>
            </a:graphic>
          </wp:inline>
        </w:drawing>
      </w:r>
      <w:r>
        <w:rPr>
          <w:rFonts w:ascii="Google Sans" w:eastAsia="Google Sans" w:hAnsi="Google Sans" w:cs="Google Sans"/>
        </w:rPr>
        <w:t xml:space="preserve"> penalties, allowing for simultaneous feature selection and coefficient shrinkage, which is highly beneficial when handling collinear features. The regularization parameters </w:t>
      </w:r>
      <w:r>
        <w:rPr>
          <w:rFonts w:ascii="Google Sans" w:eastAsia="Google Sans" w:hAnsi="Google Sans" w:cs="Google Sans"/>
          <w:noProof/>
        </w:rPr>
        <w:drawing>
          <wp:inline distT="19050" distB="19050" distL="19050" distR="19050" wp14:anchorId="42AAEB1B" wp14:editId="320A35F6">
            <wp:extent cx="126206" cy="252413"/>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26206" cy="252413"/>
                    </a:xfrm>
                    <a:prstGeom prst="rect">
                      <a:avLst/>
                    </a:prstGeom>
                    <a:ln/>
                  </pic:spPr>
                </pic:pic>
              </a:graphicData>
            </a:graphic>
          </wp:inline>
        </w:drawing>
      </w:r>
      <w:r>
        <w:rPr>
          <w:rFonts w:ascii="Google Sans" w:eastAsia="Google Sans" w:hAnsi="Google Sans" w:cs="Google Sans"/>
        </w:rPr>
        <w:t xml:space="preserve"> (governing the overall penalty strength) and the </w:t>
      </w:r>
      <w:r>
        <w:rPr>
          <w:rFonts w:ascii="Google Sans" w:eastAsia="Google Sans" w:hAnsi="Google Sans" w:cs="Google Sans"/>
          <w:noProof/>
        </w:rPr>
        <w:drawing>
          <wp:inline distT="19050" distB="19050" distL="19050" distR="19050" wp14:anchorId="4CC4FF53" wp14:editId="3C83EEA4">
            <wp:extent cx="211772" cy="250276"/>
            <wp:effectExtent l="0" t="0" r="0" b="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211772" cy="250276"/>
                    </a:xfrm>
                    <a:prstGeom prst="rect">
                      <a:avLst/>
                    </a:prstGeom>
                    <a:ln/>
                  </pic:spPr>
                </pic:pic>
              </a:graphicData>
            </a:graphic>
          </wp:inline>
        </w:drawing>
      </w:r>
      <w:r>
        <w:rPr>
          <w:rFonts w:ascii="Google Sans" w:eastAsia="Google Sans" w:hAnsi="Google Sans" w:cs="Google Sans"/>
        </w:rPr>
        <w:t xml:space="preserve"> mixing ratio (</w:t>
      </w:r>
      <w:r>
        <w:rPr>
          <w:rFonts w:ascii="Google Sans" w:eastAsia="Google Sans" w:hAnsi="Google Sans" w:cs="Google Sans"/>
          <w:noProof/>
        </w:rPr>
        <w:drawing>
          <wp:inline distT="19050" distB="19050" distL="19050" distR="19050" wp14:anchorId="2C66DB1A" wp14:editId="00F03FE7">
            <wp:extent cx="605473" cy="245973"/>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605473" cy="245973"/>
                    </a:xfrm>
                    <a:prstGeom prst="rect">
                      <a:avLst/>
                    </a:prstGeom>
                    <a:ln/>
                  </pic:spPr>
                </pic:pic>
              </a:graphicData>
            </a:graphic>
          </wp:inline>
        </w:drawing>
      </w:r>
      <w:r>
        <w:rPr>
          <w:rFonts w:ascii="Google Sans" w:eastAsia="Google Sans" w:hAnsi="Google Sans" w:cs="Google Sans"/>
        </w:rPr>
        <w:t xml:space="preserve">, governing the trade-off between Lasso and Ridge regularization) were optimized using search spaces of </w:t>
      </w:r>
      <w:r>
        <w:rPr>
          <w:rFonts w:ascii="Google Sans" w:eastAsia="Google Sans" w:hAnsi="Google Sans" w:cs="Google Sans"/>
          <w:noProof/>
        </w:rPr>
        <w:drawing>
          <wp:inline distT="19050" distB="19050" distL="19050" distR="19050" wp14:anchorId="1BD03106" wp14:editId="1CF57E30">
            <wp:extent cx="1761487" cy="238039"/>
            <wp:effectExtent l="0" t="0" r="0" b="0"/>
            <wp:docPr id="4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1761487" cy="238039"/>
                    </a:xfrm>
                    <a:prstGeom prst="rect">
                      <a:avLst/>
                    </a:prstGeom>
                    <a:ln/>
                  </pic:spPr>
                </pic:pic>
              </a:graphicData>
            </a:graphic>
          </wp:inline>
        </w:drawing>
      </w:r>
      <w:r>
        <w:rPr>
          <w:rFonts w:ascii="Google Sans" w:eastAsia="Google Sans" w:hAnsi="Google Sans" w:cs="Google Sans"/>
        </w:rPr>
        <w:t xml:space="preserve"> and </w:t>
      </w:r>
      <w:r>
        <w:rPr>
          <w:rFonts w:ascii="Google Sans" w:eastAsia="Google Sans" w:hAnsi="Google Sans" w:cs="Google Sans"/>
          <w:noProof/>
        </w:rPr>
        <w:drawing>
          <wp:inline distT="19050" distB="19050" distL="19050" distR="19050" wp14:anchorId="10F6AF99" wp14:editId="62BB4C98">
            <wp:extent cx="1062199" cy="237098"/>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1062199" cy="237098"/>
                    </a:xfrm>
                    <a:prstGeom prst="rect">
                      <a:avLst/>
                    </a:prstGeom>
                    <a:ln/>
                  </pic:spPr>
                </pic:pic>
              </a:graphicData>
            </a:graphic>
          </wp:inline>
        </w:drawing>
      </w:r>
      <w:r>
        <w:rPr>
          <w:rFonts w:ascii="Google Sans" w:eastAsia="Google Sans" w:hAnsi="Google Sans" w:cs="Google Sans"/>
        </w:rPr>
        <w:t>, respectively.</w:t>
      </w:r>
    </w:p>
    <w:p w14:paraId="10947D71" w14:textId="77777777" w:rsidR="00790334"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rPr>
        <w:t xml:space="preserve">For classification tasks, a Logistic Regression model utilizing the SAGA optimization solver was employed. The SAGA solver was selected due to its fast convergence properties on large datasets and its support for simultaneous </w:t>
      </w:r>
      <w:r>
        <w:rPr>
          <w:rFonts w:ascii="Google Sans" w:eastAsia="Google Sans" w:hAnsi="Google Sans" w:cs="Google Sans"/>
          <w:noProof/>
        </w:rPr>
        <w:drawing>
          <wp:inline distT="19050" distB="19050" distL="19050" distR="19050" wp14:anchorId="46765AC4" wp14:editId="4584F6CE">
            <wp:extent cx="211772" cy="250276"/>
            <wp:effectExtent l="0" t="0" r="0" b="0"/>
            <wp:docPr id="4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211772" cy="250276"/>
                    </a:xfrm>
                    <a:prstGeom prst="rect">
                      <a:avLst/>
                    </a:prstGeom>
                    <a:ln/>
                  </pic:spPr>
                </pic:pic>
              </a:graphicData>
            </a:graphic>
          </wp:inline>
        </w:drawing>
      </w:r>
      <w:r>
        <w:rPr>
          <w:rFonts w:ascii="Google Sans" w:eastAsia="Google Sans" w:hAnsi="Google Sans" w:cs="Google Sans"/>
        </w:rPr>
        <w:t xml:space="preserve"> and </w:t>
      </w:r>
      <w:r>
        <w:rPr>
          <w:rFonts w:ascii="Google Sans" w:eastAsia="Google Sans" w:hAnsi="Google Sans" w:cs="Google Sans"/>
          <w:noProof/>
        </w:rPr>
        <w:drawing>
          <wp:inline distT="19050" distB="19050" distL="19050" distR="19050" wp14:anchorId="18FD225E" wp14:editId="421C2858">
            <wp:extent cx="211772" cy="250276"/>
            <wp:effectExtent l="0" t="0" r="0" b="0"/>
            <wp:docPr id="4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211772" cy="250276"/>
                    </a:xfrm>
                    <a:prstGeom prst="rect">
                      <a:avLst/>
                    </a:prstGeom>
                    <a:ln/>
                  </pic:spPr>
                </pic:pic>
              </a:graphicData>
            </a:graphic>
          </wp:inline>
        </w:drawing>
      </w:r>
      <w:r>
        <w:rPr>
          <w:rFonts w:ascii="Google Sans" w:eastAsia="Google Sans" w:hAnsi="Google Sans" w:cs="Google Sans"/>
        </w:rPr>
        <w:t xml:space="preserve"> regularization. Class weights were dynamically balanced inversely proportional to class frequencies to correct for class prevalence issues. The inverse regularization strength </w:t>
      </w:r>
      <w:r>
        <w:rPr>
          <w:rFonts w:ascii="Google Sans" w:eastAsia="Google Sans" w:hAnsi="Google Sans" w:cs="Google Sans"/>
          <w:noProof/>
        </w:rPr>
        <w:drawing>
          <wp:inline distT="19050" distB="19050" distL="19050" distR="19050" wp14:anchorId="4D449AA6" wp14:editId="5BEDB49C">
            <wp:extent cx="153988" cy="250230"/>
            <wp:effectExtent l="0" t="0" r="0" b="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153988" cy="250230"/>
                    </a:xfrm>
                    <a:prstGeom prst="rect">
                      <a:avLst/>
                    </a:prstGeom>
                    <a:ln/>
                  </pic:spPr>
                </pic:pic>
              </a:graphicData>
            </a:graphic>
          </wp:inline>
        </w:drawing>
      </w:r>
      <w:r>
        <w:rPr>
          <w:rFonts w:ascii="Google Sans" w:eastAsia="Google Sans" w:hAnsi="Google Sans" w:cs="Google Sans"/>
        </w:rPr>
        <w:t xml:space="preserve"> and the </w:t>
      </w:r>
      <w:r>
        <w:rPr>
          <w:rFonts w:ascii="Google Sans" w:eastAsia="Google Sans" w:hAnsi="Google Sans" w:cs="Google Sans"/>
          <w:noProof/>
        </w:rPr>
        <w:drawing>
          <wp:inline distT="19050" distB="19050" distL="19050" distR="19050" wp14:anchorId="4936AA80" wp14:editId="5137C492">
            <wp:extent cx="605473" cy="245973"/>
            <wp:effectExtent l="0" t="0" r="0" b="0"/>
            <wp:docPr id="4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605473" cy="245973"/>
                    </a:xfrm>
                    <a:prstGeom prst="rect">
                      <a:avLst/>
                    </a:prstGeom>
                    <a:ln/>
                  </pic:spPr>
                </pic:pic>
              </a:graphicData>
            </a:graphic>
          </wp:inline>
        </w:drawing>
      </w:r>
      <w:r>
        <w:rPr>
          <w:rFonts w:ascii="Google Sans" w:eastAsia="Google Sans" w:hAnsi="Google Sans" w:cs="Google Sans"/>
        </w:rPr>
        <w:t xml:space="preserve"> were drawn from </w:t>
      </w:r>
      <w:r>
        <w:rPr>
          <w:rFonts w:ascii="Google Sans" w:eastAsia="Google Sans" w:hAnsi="Google Sans" w:cs="Google Sans"/>
          <w:noProof/>
        </w:rPr>
        <w:drawing>
          <wp:inline distT="19050" distB="19050" distL="19050" distR="19050" wp14:anchorId="637CE73C" wp14:editId="49BFCC9A">
            <wp:extent cx="1761487" cy="238039"/>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1761487" cy="238039"/>
                    </a:xfrm>
                    <a:prstGeom prst="rect">
                      <a:avLst/>
                    </a:prstGeom>
                    <a:ln/>
                  </pic:spPr>
                </pic:pic>
              </a:graphicData>
            </a:graphic>
          </wp:inline>
        </w:drawing>
      </w:r>
      <w:r>
        <w:rPr>
          <w:rFonts w:ascii="Google Sans" w:eastAsia="Google Sans" w:hAnsi="Google Sans" w:cs="Google Sans"/>
        </w:rPr>
        <w:t xml:space="preserve"> and </w:t>
      </w:r>
      <w:r>
        <w:rPr>
          <w:rFonts w:ascii="Google Sans" w:eastAsia="Google Sans" w:hAnsi="Google Sans" w:cs="Google Sans"/>
          <w:noProof/>
        </w:rPr>
        <w:drawing>
          <wp:inline distT="19050" distB="19050" distL="19050" distR="19050" wp14:anchorId="5E1907AF" wp14:editId="0148B951">
            <wp:extent cx="1062199" cy="237098"/>
            <wp:effectExtent l="0" t="0" r="0" b="0"/>
            <wp:docPr id="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1062199" cy="237098"/>
                    </a:xfrm>
                    <a:prstGeom prst="rect">
                      <a:avLst/>
                    </a:prstGeom>
                    <a:ln/>
                  </pic:spPr>
                </pic:pic>
              </a:graphicData>
            </a:graphic>
          </wp:inline>
        </w:drawing>
      </w:r>
      <w:r>
        <w:rPr>
          <w:rFonts w:ascii="Google Sans" w:eastAsia="Google Sans" w:hAnsi="Google Sans" w:cs="Google Sans"/>
        </w:rPr>
        <w:t>.</w:t>
      </w:r>
    </w:p>
    <w:p w14:paraId="2B9D1618" w14:textId="77777777" w:rsidR="0079033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Gradient Boosting Decision Trees (gb)</w:t>
      </w:r>
      <w:r>
        <w:rPr>
          <w:rFonts w:ascii="Google Sans" w:eastAsia="Google Sans" w:hAnsi="Google Sans" w:cs="Google Sans"/>
        </w:rPr>
        <w:t>:</w:t>
      </w:r>
    </w:p>
    <w:p w14:paraId="4465597B" w14:textId="77777777" w:rsidR="00790334"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rPr>
        <w:t xml:space="preserve">Implemented via LightGBM, utilizing an LGBMRegressor with a robust Huber loss objective for continuous tasks, and an LGBMLogOddsClassifier with balanced class weights for classification tasks. The Huber loss function combines the properties of mean squared error (for small residuals) and mean absolute error (for large residuals), offering robust optimization under non-Gaussian noise distributions and protection against outlier-induced gradient distortions. Baseline parameters were set to </w:t>
      </w:r>
      <w:r>
        <w:rPr>
          <w:rFonts w:ascii="Google Sans" w:eastAsia="Google Sans" w:hAnsi="Google Sans" w:cs="Google Sans"/>
          <w:noProof/>
        </w:rPr>
        <w:drawing>
          <wp:inline distT="19050" distB="19050" distL="19050" distR="19050" wp14:anchorId="5DFA0BC0" wp14:editId="5CA1AED9">
            <wp:extent cx="293846" cy="236973"/>
            <wp:effectExtent l="0" t="0" r="0" b="0"/>
            <wp:docPr id="4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leaves, a learning rate of </w:t>
      </w:r>
      <w:r>
        <w:rPr>
          <w:rFonts w:ascii="Google Sans" w:eastAsia="Google Sans" w:hAnsi="Google Sans" w:cs="Google Sans"/>
          <w:noProof/>
        </w:rPr>
        <w:drawing>
          <wp:inline distT="19050" distB="19050" distL="19050" distR="19050" wp14:anchorId="41BDA7EE" wp14:editId="23E01AEC">
            <wp:extent cx="348298" cy="235336"/>
            <wp:effectExtent l="0" t="0" r="0" b="0"/>
            <wp:docPr id="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348298" cy="235336"/>
                    </a:xfrm>
                    <a:prstGeom prst="rect">
                      <a:avLst/>
                    </a:prstGeom>
                    <a:ln/>
                  </pic:spPr>
                </pic:pic>
              </a:graphicData>
            </a:graphic>
          </wp:inline>
        </w:drawing>
      </w:r>
      <w:r>
        <w:rPr>
          <w:rFonts w:ascii="Google Sans" w:eastAsia="Google Sans" w:hAnsi="Google Sans" w:cs="Google Sans"/>
        </w:rPr>
        <w:t xml:space="preserve">, and </w:t>
      </w:r>
      <w:r>
        <w:rPr>
          <w:rFonts w:ascii="Google Sans" w:eastAsia="Google Sans" w:hAnsi="Google Sans" w:cs="Google Sans"/>
          <w:noProof/>
        </w:rPr>
        <w:drawing>
          <wp:inline distT="19050" distB="19050" distL="19050" distR="19050" wp14:anchorId="677591D2" wp14:editId="24680713">
            <wp:extent cx="391795" cy="238899"/>
            <wp:effectExtent l="0" t="0" r="0" b="0"/>
            <wp:docPr id="5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391795" cy="238899"/>
                    </a:xfrm>
                    <a:prstGeom prst="rect">
                      <a:avLst/>
                    </a:prstGeom>
                    <a:ln/>
                  </pic:spPr>
                </pic:pic>
              </a:graphicData>
            </a:graphic>
          </wp:inline>
        </w:drawing>
      </w:r>
      <w:r>
        <w:rPr>
          <w:rFonts w:ascii="Google Sans" w:eastAsia="Google Sans" w:hAnsi="Google Sans" w:cs="Google Sans"/>
        </w:rPr>
        <w:t xml:space="preserve"> estimators. The column subsample fraction (</w:t>
      </w:r>
      <w:r>
        <w:rPr>
          <w:rFonts w:ascii="Google Sans" w:eastAsia="Google Sans" w:hAnsi="Google Sans" w:cs="Google Sans"/>
          <w:noProof/>
        </w:rPr>
        <w:drawing>
          <wp:inline distT="19050" distB="19050" distL="19050" distR="19050" wp14:anchorId="45E418F4" wp14:editId="5A9E1331">
            <wp:extent cx="2767174" cy="23773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767174" cy="237730"/>
                    </a:xfrm>
                    <a:prstGeom prst="rect">
                      <a:avLst/>
                    </a:prstGeom>
                    <a:ln/>
                  </pic:spPr>
                </pic:pic>
              </a:graphicData>
            </a:graphic>
          </wp:inline>
        </w:drawing>
      </w:r>
      <w:r>
        <w:rPr>
          <w:rFonts w:ascii="Google Sans" w:eastAsia="Google Sans" w:hAnsi="Google Sans" w:cs="Google Sans"/>
        </w:rPr>
        <w:t>), activation of extra randomized trees (</w:t>
      </w:r>
      <w:r>
        <w:rPr>
          <w:rFonts w:ascii="Google Sans" w:eastAsia="Google Sans" w:hAnsi="Google Sans" w:cs="Google Sans"/>
          <w:noProof/>
        </w:rPr>
        <w:drawing>
          <wp:inline distT="19050" distB="19050" distL="19050" distR="19050" wp14:anchorId="7D5334BC" wp14:editId="7C1B0CC0">
            <wp:extent cx="2324891" cy="238206"/>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2324891" cy="238206"/>
                    </a:xfrm>
                    <a:prstGeom prst="rect">
                      <a:avLst/>
                    </a:prstGeom>
                    <a:ln/>
                  </pic:spPr>
                </pic:pic>
              </a:graphicData>
            </a:graphic>
          </wp:inline>
        </w:drawing>
      </w:r>
      <w:r>
        <w:rPr>
          <w:rFonts w:ascii="Google Sans" w:eastAsia="Google Sans" w:hAnsi="Google Sans" w:cs="Google Sans"/>
        </w:rPr>
        <w:t>), and path smoothing (</w:t>
      </w:r>
      <w:r>
        <w:rPr>
          <w:rFonts w:ascii="Google Sans" w:eastAsia="Google Sans" w:hAnsi="Google Sans" w:cs="Google Sans"/>
          <w:noProof/>
        </w:rPr>
        <w:drawing>
          <wp:inline distT="19050" distB="19050" distL="19050" distR="19050" wp14:anchorId="34C516B7" wp14:editId="080532CA">
            <wp:extent cx="2959894" cy="237934"/>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2959894" cy="237934"/>
                    </a:xfrm>
                    <a:prstGeom prst="rect">
                      <a:avLst/>
                    </a:prstGeom>
                    <a:ln/>
                  </pic:spPr>
                </pic:pic>
              </a:graphicData>
            </a:graphic>
          </wp:inline>
        </w:drawing>
      </w:r>
      <w:r>
        <w:rPr>
          <w:rFonts w:ascii="Google Sans" w:eastAsia="Google Sans" w:hAnsi="Google Sans" w:cs="Google Sans"/>
        </w:rPr>
        <w:t xml:space="preserve">) were selected as hyperparameter </w:t>
      </w:r>
      <w:r>
        <w:rPr>
          <w:rFonts w:ascii="Google Sans" w:eastAsia="Google Sans" w:hAnsi="Google Sans" w:cs="Google Sans"/>
        </w:rPr>
        <w:lastRenderedPageBreak/>
        <w:t>tuning targets to control variance and prevent overfitting during gradient propagation.</w:t>
      </w:r>
    </w:p>
    <w:p w14:paraId="7F269773" w14:textId="77777777" w:rsidR="0079033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Tabular In-Context Learning (tabicl)</w:t>
      </w:r>
      <w:r>
        <w:rPr>
          <w:rFonts w:ascii="Google Sans" w:eastAsia="Google Sans" w:hAnsi="Google Sans" w:cs="Google Sans"/>
        </w:rPr>
        <w:t>:</w:t>
      </w:r>
    </w:p>
    <w:p w14:paraId="068D19D5" w14:textId="77777777" w:rsidR="0079033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rPr>
        <w:t>Deep tabular foundation models (TabICLRegressor and TabICLClassifier) were evaluated out-of-the-box (model checkpoint version v2-20260212). Rather than updating model weights via standard backpropagation, TabICL utilizes in-context learning by feeding a set of context examples directly into its forward pass. This architecture leverages Key-Value caching (kv_cache = True) to optimize computational inference times during multi-step evaluation, avoiding redundant token generation calculations without requiring additional hyperparameter optimization steps.</w:t>
      </w:r>
    </w:p>
    <w:p w14:paraId="6E24A803"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1.3 Validation Protocol and Empirical Control Baseline</w:t>
      </w:r>
    </w:p>
    <w:p w14:paraId="0F4E7EAB"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To obtain unbiased estimates of out-of-sample performance and control for group-structure dependencies, a nested repeated cross-validation scheme was utilized. This validation structure is critical to avoid optimism bias during model selection and hyperparameter optimization. The outer loop utilized a </w:t>
      </w:r>
      <w:r>
        <w:rPr>
          <w:rFonts w:ascii="Google Sans" w:eastAsia="Google Sans" w:hAnsi="Google Sans" w:cs="Google Sans"/>
          <w:noProof/>
        </w:rPr>
        <w:drawing>
          <wp:inline distT="19050" distB="19050" distL="19050" distR="19050" wp14:anchorId="4A7A2DB9" wp14:editId="4C38F0D7">
            <wp:extent cx="97948" cy="244871"/>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7948" cy="244871"/>
                    </a:xfrm>
                    <a:prstGeom prst="rect">
                      <a:avLst/>
                    </a:prstGeom>
                    <a:ln/>
                  </pic:spPr>
                </pic:pic>
              </a:graphicData>
            </a:graphic>
          </wp:inline>
        </w:drawing>
      </w:r>
      <w:r>
        <w:rPr>
          <w:rFonts w:ascii="Google Sans" w:eastAsia="Google Sans" w:hAnsi="Google Sans" w:cs="Google Sans"/>
        </w:rPr>
        <w:t xml:space="preserve">-fold RepeatedGroupKFold cross-validation repeated </w:t>
      </w:r>
      <w:r>
        <w:rPr>
          <w:rFonts w:ascii="Google Sans" w:eastAsia="Google Sans" w:hAnsi="Google Sans" w:cs="Google Sans"/>
          <w:noProof/>
        </w:rPr>
        <w:drawing>
          <wp:inline distT="19050" distB="19050" distL="19050" distR="19050" wp14:anchorId="3F7C51C1" wp14:editId="1F59374D">
            <wp:extent cx="195898" cy="233212"/>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95898" cy="233212"/>
                    </a:xfrm>
                    <a:prstGeom prst="rect">
                      <a:avLst/>
                    </a:prstGeom>
                    <a:ln/>
                  </pic:spPr>
                </pic:pic>
              </a:graphicData>
            </a:graphic>
          </wp:inline>
        </w:drawing>
      </w:r>
      <w:r>
        <w:rPr>
          <w:rFonts w:ascii="Google Sans" w:eastAsia="Google Sans" w:hAnsi="Google Sans" w:cs="Google Sans"/>
        </w:rPr>
        <w:t xml:space="preserve"> times (</w:t>
      </w:r>
      <w:r>
        <w:rPr>
          <w:rFonts w:ascii="Google Sans" w:eastAsia="Google Sans" w:hAnsi="Google Sans" w:cs="Google Sans"/>
          <w:noProof/>
        </w:rPr>
        <w:drawing>
          <wp:inline distT="19050" distB="19050" distL="19050" distR="19050" wp14:anchorId="3CAB44D0" wp14:editId="117BB01D">
            <wp:extent cx="293846" cy="236973"/>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unique folds total) to isolate validation sets across defined sample groups (</w:t>
      </w:r>
      <w:r>
        <w:rPr>
          <w:rFonts w:ascii="Google Sans" w:eastAsia="Google Sans" w:hAnsi="Google Sans" w:cs="Google Sans"/>
          <w:noProof/>
        </w:rPr>
        <w:drawing>
          <wp:inline distT="19050" distB="19050" distL="19050" distR="19050" wp14:anchorId="51200620" wp14:editId="5497DF4D">
            <wp:extent cx="153988" cy="25023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153988" cy="250230"/>
                    </a:xfrm>
                    <a:prstGeom prst="rect">
                      <a:avLst/>
                    </a:prstGeom>
                    <a:ln/>
                  </pic:spPr>
                </pic:pic>
              </a:graphicData>
            </a:graphic>
          </wp:inline>
        </w:drawing>
      </w:r>
      <w:r>
        <w:rPr>
          <w:rFonts w:ascii="Google Sans" w:eastAsia="Google Sans" w:hAnsi="Google Sans" w:cs="Google Sans"/>
        </w:rPr>
        <w:t>). By enforcing that observations belonging to the same group were never split across the training and testing sets, optimistic performance estimates caused by intra-group dependencies were prevented.</w:t>
      </w:r>
    </w:p>
    <w:p w14:paraId="515E1819"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For regularized linear and gradient boosting architectures, hyperparameter tuning was conducted within each training fold using a randomized search (RandomizedSearchCV, </w:t>
      </w:r>
      <w:r>
        <w:rPr>
          <w:rFonts w:ascii="Google Sans" w:eastAsia="Google Sans" w:hAnsi="Google Sans" w:cs="Google Sans"/>
          <w:noProof/>
        </w:rPr>
        <w:drawing>
          <wp:inline distT="19050" distB="19050" distL="19050" distR="19050" wp14:anchorId="615E7978" wp14:editId="0066CB09">
            <wp:extent cx="293846" cy="236973"/>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iterations) evaluated via an inner </w:t>
      </w:r>
      <w:r>
        <w:rPr>
          <w:rFonts w:ascii="Google Sans" w:eastAsia="Google Sans" w:hAnsi="Google Sans" w:cs="Google Sans"/>
          <w:noProof/>
        </w:rPr>
        <w:drawing>
          <wp:inline distT="19050" distB="19050" distL="19050" distR="19050" wp14:anchorId="0287D4F7" wp14:editId="3001C027">
            <wp:extent cx="97948" cy="244871"/>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7948" cy="244871"/>
                    </a:xfrm>
                    <a:prstGeom prst="rect">
                      <a:avLst/>
                    </a:prstGeom>
                    <a:ln/>
                  </pic:spPr>
                </pic:pic>
              </a:graphicData>
            </a:graphic>
          </wp:inline>
        </w:drawing>
      </w:r>
      <w:r>
        <w:rPr>
          <w:rFonts w:ascii="Google Sans" w:eastAsia="Google Sans" w:hAnsi="Google Sans" w:cs="Google Sans"/>
        </w:rPr>
        <w:t xml:space="preserve">-fold, </w:t>
      </w:r>
      <w:r>
        <w:rPr>
          <w:rFonts w:ascii="Google Sans" w:eastAsia="Google Sans" w:hAnsi="Google Sans" w:cs="Google Sans"/>
          <w:noProof/>
        </w:rPr>
        <w:drawing>
          <wp:inline distT="19050" distB="19050" distL="19050" distR="19050" wp14:anchorId="4E3577C4" wp14:editId="74406B76">
            <wp:extent cx="195898" cy="233212"/>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95898" cy="233212"/>
                    </a:xfrm>
                    <a:prstGeom prst="rect">
                      <a:avLst/>
                    </a:prstGeom>
                    <a:ln/>
                  </pic:spPr>
                </pic:pic>
              </a:graphicData>
            </a:graphic>
          </wp:inline>
        </w:drawing>
      </w:r>
      <w:r>
        <w:rPr>
          <w:rFonts w:ascii="Google Sans" w:eastAsia="Google Sans" w:hAnsi="Google Sans" w:cs="Google Sans"/>
        </w:rPr>
        <w:t>-repeat cross-validation to prevent data leakage. Continuous pipelines were optimized to maximize the Coefficient of Determination (</w:t>
      </w:r>
      <w:r>
        <w:rPr>
          <w:rFonts w:ascii="Google Sans" w:eastAsia="Google Sans" w:hAnsi="Google Sans" w:cs="Google Sans"/>
          <w:noProof/>
        </w:rPr>
        <w:drawing>
          <wp:inline distT="19050" distB="19050" distL="19050" distR="19050" wp14:anchorId="66677A83" wp14:editId="2AD3DC1E">
            <wp:extent cx="228759" cy="247822"/>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28759" cy="247822"/>
                    </a:xfrm>
                    <a:prstGeom prst="rect">
                      <a:avLst/>
                    </a:prstGeom>
                    <a:ln/>
                  </pic:spPr>
                </pic:pic>
              </a:graphicData>
            </a:graphic>
          </wp:inline>
        </w:drawing>
      </w:r>
      <w:r>
        <w:rPr>
          <w:rFonts w:ascii="Google Sans" w:eastAsia="Google Sans" w:hAnsi="Google Sans" w:cs="Google Sans"/>
        </w:rPr>
        <w:t>), whereas classification pipelines targeted Balanced Accuracy.</w:t>
      </w:r>
    </w:p>
    <w:p w14:paraId="21CF56D8"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establish an empirical null distribution of performance and assess statistical significance, parallel control models were trained and evaluated. On each of the outer folds, an identical pipeline was trained on target arrays shuffled uniformly at random (</w:t>
      </w:r>
      <w:r>
        <w:rPr>
          <w:rFonts w:ascii="Google Sans" w:eastAsia="Google Sans" w:hAnsi="Google Sans" w:cs="Google Sans"/>
          <w:noProof/>
        </w:rPr>
        <w:drawing>
          <wp:inline distT="19050" distB="19050" distL="19050" distR="19050" wp14:anchorId="1CB02D4A" wp14:editId="2DC620D0">
            <wp:extent cx="747077" cy="24902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747077" cy="249026"/>
                    </a:xfrm>
                    <a:prstGeom prst="rect">
                      <a:avLst/>
                    </a:prstGeom>
                    <a:ln/>
                  </pic:spPr>
                </pic:pic>
              </a:graphicData>
            </a:graphic>
          </wp:inline>
        </w:drawing>
      </w:r>
      <w:r>
        <w:rPr>
          <w:rFonts w:ascii="Google Sans" w:eastAsia="Google Sans" w:hAnsi="Google Sans" w:cs="Google Sans"/>
        </w:rPr>
        <w:t>) and evaluated on the unmodified validation partition. Comparing the true validation scores against this randomized baseline ensures that any observed predictive performance is driven by genuine statistical signals rather than random variations or pipeline over-parameterization.</w:t>
      </w:r>
    </w:p>
    <w:p w14:paraId="2A435531"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evaluation metrics reported across the outer validation runs include:</w:t>
      </w:r>
    </w:p>
    <w:p w14:paraId="7427FF88" w14:textId="77777777" w:rsidR="0079033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Continuous targets</w:t>
      </w:r>
      <w:r>
        <w:rPr>
          <w:rFonts w:ascii="Google Sans" w:eastAsia="Google Sans" w:hAnsi="Google Sans" w:cs="Google Sans"/>
        </w:rPr>
        <w:t>: Mean Absolute Error (MAE) and Coefficient of Determination (</w:t>
      </w:r>
      <w:r>
        <w:rPr>
          <w:rFonts w:ascii="Google Sans" w:eastAsia="Google Sans" w:hAnsi="Google Sans" w:cs="Google Sans"/>
          <w:noProof/>
        </w:rPr>
        <w:drawing>
          <wp:inline distT="19050" distB="19050" distL="19050" distR="19050" wp14:anchorId="24E5967E" wp14:editId="16CB2BD4">
            <wp:extent cx="228759" cy="247822"/>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28759" cy="247822"/>
                    </a:xfrm>
                    <a:prstGeom prst="rect">
                      <a:avLst/>
                    </a:prstGeom>
                    <a:ln/>
                  </pic:spPr>
                </pic:pic>
              </a:graphicData>
            </a:graphic>
          </wp:inline>
        </w:drawing>
      </w:r>
      <w:r>
        <w:rPr>
          <w:rFonts w:ascii="Google Sans" w:eastAsia="Google Sans" w:hAnsi="Google Sans" w:cs="Google Sans"/>
        </w:rPr>
        <w:t>):</w:t>
      </w:r>
      <w:r>
        <w:rPr>
          <w:rFonts w:ascii="Google Sans" w:eastAsia="Google Sans" w:hAnsi="Google Sans" w:cs="Google Sans"/>
          <w:noProof/>
        </w:rPr>
        <w:drawing>
          <wp:inline distT="19050" distB="19050" distL="19050" distR="19050" wp14:anchorId="0B5D2582" wp14:editId="0F749644">
            <wp:extent cx="5905500" cy="54756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905500" cy="547569"/>
                    </a:xfrm>
                    <a:prstGeom prst="rect">
                      <a:avLst/>
                    </a:prstGeom>
                    <a:ln/>
                  </pic:spPr>
                </pic:pic>
              </a:graphicData>
            </a:graphic>
          </wp:inline>
        </w:drawing>
      </w:r>
    </w:p>
    <w:p w14:paraId="3D82F03B" w14:textId="77777777" w:rsidR="0079033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lastRenderedPageBreak/>
        <w:t>Categorical targets</w:t>
      </w:r>
      <w:r>
        <w:rPr>
          <w:rFonts w:ascii="Google Sans" w:eastAsia="Google Sans" w:hAnsi="Google Sans" w:cs="Google Sans"/>
        </w:rPr>
        <w:t>: Balanced Accuracy (</w:t>
      </w:r>
      <w:r>
        <w:rPr>
          <w:rFonts w:ascii="Google Sans" w:eastAsia="Google Sans" w:hAnsi="Google Sans" w:cs="Google Sans"/>
          <w:noProof/>
        </w:rPr>
        <w:drawing>
          <wp:inline distT="19050" distB="19050" distL="19050" distR="19050" wp14:anchorId="06B55E5D" wp14:editId="76F1B6FA">
            <wp:extent cx="285591" cy="237992"/>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285591" cy="237992"/>
                    </a:xfrm>
                    <a:prstGeom prst="rect">
                      <a:avLst/>
                    </a:prstGeom>
                    <a:ln/>
                  </pic:spPr>
                </pic:pic>
              </a:graphicData>
            </a:graphic>
          </wp:inline>
        </w:drawing>
      </w:r>
      <w:r>
        <w:rPr>
          <w:rFonts w:ascii="Google Sans" w:eastAsia="Google Sans" w:hAnsi="Google Sans" w:cs="Google Sans"/>
        </w:rPr>
        <w:t>), defined as the macro-average of recall across all classes:</w:t>
      </w:r>
      <w:r>
        <w:rPr>
          <w:rFonts w:ascii="Google Sans" w:eastAsia="Google Sans" w:hAnsi="Google Sans" w:cs="Google Sans"/>
          <w:noProof/>
        </w:rPr>
        <w:drawing>
          <wp:inline distT="19050" distB="19050" distL="19050" distR="19050" wp14:anchorId="32058092" wp14:editId="18221C4F">
            <wp:extent cx="5905500" cy="624111"/>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905500" cy="624111"/>
                    </a:xfrm>
                    <a:prstGeom prst="rect">
                      <a:avLst/>
                    </a:prstGeom>
                    <a:ln/>
                  </pic:spPr>
                </pic:pic>
              </a:graphicData>
            </a:graphic>
          </wp:inline>
        </w:drawing>
      </w:r>
    </w:p>
    <w:p w14:paraId="6346C998"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1.4 Model Explanation and Feature Interaction Attribution</w:t>
      </w:r>
    </w:p>
    <w:p w14:paraId="2DB0B4F8"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Post-hoc local explanations were computed using Permutation SHAP Interaction Index (</w:t>
      </w:r>
      <w:r>
        <w:rPr>
          <w:rFonts w:ascii="Google Sans" w:eastAsia="Google Sans" w:hAnsi="Google Sans" w:cs="Google Sans"/>
          <w:noProof/>
        </w:rPr>
        <w:drawing>
          <wp:inline distT="19050" distB="19050" distL="19050" distR="19050" wp14:anchorId="6FA4D02C" wp14:editId="20D32125">
            <wp:extent cx="423703" cy="25037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423703" cy="250370"/>
                    </a:xfrm>
                    <a:prstGeom prst="rect">
                      <a:avLst/>
                    </a:prstGeom>
                    <a:ln/>
                  </pic:spPr>
                </pic:pic>
              </a:graphicData>
            </a:graphic>
          </wp:inline>
        </w:drawing>
      </w:r>
      <w:r>
        <w:rPr>
          <w:rFonts w:ascii="Google Sans" w:eastAsia="Google Sans" w:hAnsi="Google Sans" w:cs="Google Sans"/>
        </w:rPr>
        <w:t xml:space="preserve">) values of order up to 2 via the shapiq package. Calculating second-order interaction terms allows for the decomposition of predictions into main effects and pairwise joint effects, capturing synergistic or antagonistic relationships between features. To maintain computational feasibility during nested cross-validation, training (background) and test (foreground) feature arrays were downsampled using non-replacement random sampling to a maximum of </w:t>
      </w:r>
      <w:r>
        <w:rPr>
          <w:rFonts w:ascii="Google Sans" w:eastAsia="Google Sans" w:hAnsi="Google Sans" w:cs="Google Sans"/>
          <w:noProof/>
        </w:rPr>
        <w:drawing>
          <wp:inline distT="19050" distB="19050" distL="19050" distR="19050" wp14:anchorId="5EAB5757" wp14:editId="6E4288B5">
            <wp:extent cx="293846" cy="236973"/>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sample vectors respectively.</w:t>
      </w:r>
    </w:p>
    <w:p w14:paraId="6F1B6562"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explanation budget (</w:t>
      </w:r>
      <w:r>
        <w:rPr>
          <w:rFonts w:ascii="Google Sans" w:eastAsia="Google Sans" w:hAnsi="Google Sans" w:cs="Google Sans"/>
          <w:noProof/>
        </w:rPr>
        <w:drawing>
          <wp:inline distT="19050" distB="19050" distL="19050" distR="19050" wp14:anchorId="09837B5F" wp14:editId="1420A97B">
            <wp:extent cx="158591" cy="242551"/>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158591" cy="242551"/>
                    </a:xfrm>
                    <a:prstGeom prst="rect">
                      <a:avLst/>
                    </a:prstGeom>
                    <a:ln/>
                  </pic:spPr>
                </pic:pic>
              </a:graphicData>
            </a:graphic>
          </wp:inline>
        </w:drawing>
      </w:r>
      <w:r>
        <w:rPr>
          <w:rFonts w:ascii="Google Sans" w:eastAsia="Google Sans" w:hAnsi="Google Sans" w:cs="Google Sans"/>
        </w:rPr>
        <w:t>) was dynamically constrained according to the number of features (</w:t>
      </w:r>
      <w:r>
        <w:rPr>
          <w:rFonts w:ascii="Google Sans" w:eastAsia="Google Sans" w:hAnsi="Google Sans" w:cs="Google Sans"/>
          <w:noProof/>
        </w:rPr>
        <w:drawing>
          <wp:inline distT="19050" distB="19050" distL="19050" distR="19050" wp14:anchorId="44128F7A" wp14:editId="17171337">
            <wp:extent cx="101917" cy="240896"/>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101917" cy="240896"/>
                    </a:xfrm>
                    <a:prstGeom prst="rect">
                      <a:avLst/>
                    </a:prstGeom>
                    <a:ln/>
                  </pic:spPr>
                </pic:pic>
              </a:graphicData>
            </a:graphic>
          </wp:inline>
        </w:drawing>
      </w:r>
      <w:r>
        <w:rPr>
          <w:rFonts w:ascii="Google Sans" w:eastAsia="Google Sans" w:hAnsi="Google Sans" w:cs="Google Sans"/>
        </w:rPr>
        <w:t>):</w:t>
      </w:r>
    </w:p>
    <w:p w14:paraId="090D51E6"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noProof/>
        </w:rPr>
        <w:drawing>
          <wp:inline distT="19050" distB="19050" distL="19050" distR="19050" wp14:anchorId="6B48DAED" wp14:editId="6503ADE8">
            <wp:extent cx="5905500" cy="5197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905500" cy="519730"/>
                    </a:xfrm>
                    <a:prstGeom prst="rect">
                      <a:avLst/>
                    </a:prstGeom>
                    <a:ln/>
                  </pic:spPr>
                </pic:pic>
              </a:graphicData>
            </a:graphic>
          </wp:inline>
        </w:drawing>
      </w:r>
      <w:r>
        <w:rPr>
          <w:rFonts w:ascii="Google Sans" w:eastAsia="Google Sans" w:hAnsi="Google Sans" w:cs="Google Sans"/>
        </w:rPr>
        <w:t>This dual-threshold budget guarantees that for low-dimensional spaces, exact Shapley interaction calculations are performed, whereas for higher-dimensional settings, the computational expense is capped dynamically without compromising approximation quality. For classification architectures, explanations were extracted for decision boundaries (decision functions for linear models; log-odds predictions for LightGBM and TabICL components) mapped per unique target class. Parallel processing was used to optimize calculations.</w:t>
      </w:r>
    </w:p>
    <w:p w14:paraId="5F0B8A3E" w14:textId="726D749B" w:rsidR="0079033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2. Short Version</w:t>
      </w:r>
    </w:p>
    <w:p w14:paraId="58C3545F"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2.1 Machine Learning Pipeline and Model Architectures</w:t>
      </w:r>
    </w:p>
    <w:p w14:paraId="5888B746"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An automated Machine Learning pipeline was deployed and configured to handle continuous, binary, and multiclass targets. Preprocessing was managed dynamically: continuous and binary features were imputed and standardized; low-cardinality categorical variables were one-hot encoded; and high-cardinality categorical features were target-encoded. Three modeling strategies were evaluated:</w:t>
      </w:r>
    </w:p>
    <w:p w14:paraId="0FEBCE73" w14:textId="77777777" w:rsidR="00790334"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Regularized Linear Models (Elastic Net regression for continuous targets; Logistic Regression with SAGA solver and balanced class weights for classification targets).</w:t>
      </w:r>
    </w:p>
    <w:p w14:paraId="645BD955" w14:textId="77777777" w:rsidR="00790334"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Gradient Boosting Decision Trees (LightGBM utilizing a robust Huber loss objective to minimize outlier sensitivity in continuous regression tasks, or log-odds classification </w:t>
      </w:r>
      <w:r>
        <w:rPr>
          <w:rFonts w:ascii="Google Sans" w:eastAsia="Google Sans" w:hAnsi="Google Sans" w:cs="Google Sans"/>
        </w:rPr>
        <w:lastRenderedPageBreak/>
        <w:t>parameterized with balanced class weights to address minority prevalence).</w:t>
      </w:r>
    </w:p>
    <w:p w14:paraId="32AD7DA0" w14:textId="77777777" w:rsidR="00790334"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Tabular In-Context Learning (pretrained TabICL foundation models, version v2-20260212, which utilize in-context examples fed directly into the model context window to bypass conventional parameter-updating and backpropagation regimes).</w:t>
      </w:r>
    </w:p>
    <w:p w14:paraId="44B9449B" w14:textId="77777777" w:rsidR="0079033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2.2 Validation Protocol and Explanation</w:t>
      </w:r>
    </w:p>
    <w:p w14:paraId="1289D437"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Model generalizability was evaluated using a rigorous outer </w:t>
      </w:r>
      <w:r>
        <w:rPr>
          <w:rFonts w:ascii="Google Sans" w:eastAsia="Google Sans" w:hAnsi="Google Sans" w:cs="Google Sans"/>
          <w:noProof/>
        </w:rPr>
        <w:drawing>
          <wp:inline distT="19050" distB="19050" distL="19050" distR="19050" wp14:anchorId="59338834" wp14:editId="28FD1473">
            <wp:extent cx="97948" cy="24487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7948" cy="244871"/>
                    </a:xfrm>
                    <a:prstGeom prst="rect">
                      <a:avLst/>
                    </a:prstGeom>
                    <a:ln/>
                  </pic:spPr>
                </pic:pic>
              </a:graphicData>
            </a:graphic>
          </wp:inline>
        </w:drawing>
      </w:r>
      <w:r>
        <w:rPr>
          <w:rFonts w:ascii="Google Sans" w:eastAsia="Google Sans" w:hAnsi="Google Sans" w:cs="Google Sans"/>
        </w:rPr>
        <w:t xml:space="preserve">-fold RepeatedGroupKFold cross-validation scheme repeated </w:t>
      </w:r>
      <w:r>
        <w:rPr>
          <w:rFonts w:ascii="Google Sans" w:eastAsia="Google Sans" w:hAnsi="Google Sans" w:cs="Google Sans"/>
          <w:noProof/>
        </w:rPr>
        <w:drawing>
          <wp:inline distT="19050" distB="19050" distL="19050" distR="19050" wp14:anchorId="1006464A" wp14:editId="5BC3356F">
            <wp:extent cx="195898" cy="23321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95898" cy="233212"/>
                    </a:xfrm>
                    <a:prstGeom prst="rect">
                      <a:avLst/>
                    </a:prstGeom>
                    <a:ln/>
                  </pic:spPr>
                </pic:pic>
              </a:graphicData>
            </a:graphic>
          </wp:inline>
        </w:drawing>
      </w:r>
      <w:r>
        <w:rPr>
          <w:rFonts w:ascii="Google Sans" w:eastAsia="Google Sans" w:hAnsi="Google Sans" w:cs="Google Sans"/>
        </w:rPr>
        <w:t xml:space="preserve"> times to account for group structures. Within each outer fold, hyperparameters for the linear and gradient boosting pipelines were optimized via a randomized search (</w:t>
      </w:r>
      <w:r>
        <w:rPr>
          <w:rFonts w:ascii="Google Sans" w:eastAsia="Google Sans" w:hAnsi="Google Sans" w:cs="Google Sans"/>
          <w:noProof/>
        </w:rPr>
        <w:drawing>
          <wp:inline distT="19050" distB="19050" distL="19050" distR="19050" wp14:anchorId="6AE5D823" wp14:editId="0EA19760">
            <wp:extent cx="293846" cy="236973"/>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iterations) evaluated on an inner repeated </w:t>
      </w:r>
      <w:r>
        <w:rPr>
          <w:rFonts w:ascii="Google Sans" w:eastAsia="Google Sans" w:hAnsi="Google Sans" w:cs="Google Sans"/>
          <w:noProof/>
        </w:rPr>
        <w:drawing>
          <wp:inline distT="19050" distB="19050" distL="19050" distR="19050" wp14:anchorId="6838FDA3" wp14:editId="6D674628">
            <wp:extent cx="97948" cy="24487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7948" cy="244871"/>
                    </a:xfrm>
                    <a:prstGeom prst="rect">
                      <a:avLst/>
                    </a:prstGeom>
                    <a:ln/>
                  </pic:spPr>
                </pic:pic>
              </a:graphicData>
            </a:graphic>
          </wp:inline>
        </w:drawing>
      </w:r>
      <w:r>
        <w:rPr>
          <w:rFonts w:ascii="Google Sans" w:eastAsia="Google Sans" w:hAnsi="Google Sans" w:cs="Google Sans"/>
        </w:rPr>
        <w:t xml:space="preserve">-fold partition. Primary performance metrics were </w:t>
      </w:r>
      <w:r>
        <w:rPr>
          <w:rFonts w:ascii="Google Sans" w:eastAsia="Google Sans" w:hAnsi="Google Sans" w:cs="Google Sans"/>
          <w:noProof/>
        </w:rPr>
        <w:drawing>
          <wp:inline distT="19050" distB="19050" distL="19050" distR="19050" wp14:anchorId="2DFB549C" wp14:editId="1DE9A3B0">
            <wp:extent cx="228759" cy="24782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28759" cy="247822"/>
                    </a:xfrm>
                    <a:prstGeom prst="rect">
                      <a:avLst/>
                    </a:prstGeom>
                    <a:ln/>
                  </pic:spPr>
                </pic:pic>
              </a:graphicData>
            </a:graphic>
          </wp:inline>
        </w:drawing>
      </w:r>
      <w:r>
        <w:rPr>
          <w:rFonts w:ascii="Google Sans" w:eastAsia="Google Sans" w:hAnsi="Google Sans" w:cs="Google Sans"/>
        </w:rPr>
        <w:t xml:space="preserve"> and MAE for continuous outcomes, and Balanced Accuracy for classification.</w:t>
      </w:r>
    </w:p>
    <w:p w14:paraId="4C9EF6A8"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determine baseline chance performance, parallel "null" pipelines trained on target-shuffled labels were evaluated on identical outer cross-validation folds. This control comparison protects against overfitting in high-dimensional or low-sample spaces.</w:t>
      </w:r>
    </w:p>
    <w:p w14:paraId="0969591C" w14:textId="77777777" w:rsidR="0079033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Local feature attribution and pairwise interactions up to the second order were calculated using the Permutation SHAP Interaction Index (</w:t>
      </w:r>
      <w:r>
        <w:rPr>
          <w:rFonts w:ascii="Google Sans" w:eastAsia="Google Sans" w:hAnsi="Google Sans" w:cs="Google Sans"/>
          <w:noProof/>
        </w:rPr>
        <w:drawing>
          <wp:inline distT="19050" distB="19050" distL="19050" distR="19050" wp14:anchorId="27396790" wp14:editId="6046C3DF">
            <wp:extent cx="423703" cy="25037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423703" cy="250370"/>
                    </a:xfrm>
                    <a:prstGeom prst="rect">
                      <a:avLst/>
                    </a:prstGeom>
                    <a:ln/>
                  </pic:spPr>
                </pic:pic>
              </a:graphicData>
            </a:graphic>
          </wp:inline>
        </w:drawing>
      </w:r>
      <w:r>
        <w:rPr>
          <w:rFonts w:ascii="Google Sans" w:eastAsia="Google Sans" w:hAnsi="Google Sans" w:cs="Google Sans"/>
        </w:rPr>
        <w:t xml:space="preserve">) via the shapiq framework. Attributions were computed over downsampled representative partitions of </w:t>
      </w:r>
      <w:r>
        <w:rPr>
          <w:rFonts w:ascii="Google Sans" w:eastAsia="Google Sans" w:hAnsi="Google Sans" w:cs="Google Sans"/>
          <w:noProof/>
        </w:rPr>
        <w:drawing>
          <wp:inline distT="19050" distB="19050" distL="19050" distR="19050" wp14:anchorId="15D52392" wp14:editId="2CC25E8C">
            <wp:extent cx="293846" cy="236973"/>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3846" cy="236973"/>
                    </a:xfrm>
                    <a:prstGeom prst="rect">
                      <a:avLst/>
                    </a:prstGeom>
                    <a:ln/>
                  </pic:spPr>
                </pic:pic>
              </a:graphicData>
            </a:graphic>
          </wp:inline>
        </w:drawing>
      </w:r>
      <w:r>
        <w:rPr>
          <w:rFonts w:ascii="Google Sans" w:eastAsia="Google Sans" w:hAnsi="Google Sans" w:cs="Google Sans"/>
        </w:rPr>
        <w:t xml:space="preserve"> background/foreground samples, utilizing an evaluation budget defined as </w:t>
      </w:r>
      <w:r>
        <w:rPr>
          <w:rFonts w:ascii="Google Sans" w:eastAsia="Google Sans" w:hAnsi="Google Sans" w:cs="Google Sans"/>
          <w:noProof/>
        </w:rPr>
        <w:drawing>
          <wp:inline distT="19050" distB="19050" distL="19050" distR="19050" wp14:anchorId="37B1F7C7" wp14:editId="417B5BBE">
            <wp:extent cx="1533049" cy="24757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1533049" cy="247573"/>
                    </a:xfrm>
                    <a:prstGeom prst="rect">
                      <a:avLst/>
                    </a:prstGeom>
                    <a:ln/>
                  </pic:spPr>
                </pic:pic>
              </a:graphicData>
            </a:graphic>
          </wp:inline>
        </w:drawing>
      </w:r>
      <w:r>
        <w:rPr>
          <w:rFonts w:ascii="Google Sans" w:eastAsia="Google Sans" w:hAnsi="Google Sans" w:cs="Google Sans"/>
        </w:rPr>
        <w:t xml:space="preserve">, where </w:t>
      </w:r>
      <w:r>
        <w:rPr>
          <w:rFonts w:ascii="Google Sans" w:eastAsia="Google Sans" w:hAnsi="Google Sans" w:cs="Google Sans"/>
          <w:noProof/>
        </w:rPr>
        <w:drawing>
          <wp:inline distT="19050" distB="19050" distL="19050" distR="19050" wp14:anchorId="347B68AF" wp14:editId="7D6BC12F">
            <wp:extent cx="101917" cy="240896"/>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101917" cy="240896"/>
                    </a:xfrm>
                    <a:prstGeom prst="rect">
                      <a:avLst/>
                    </a:prstGeom>
                    <a:ln/>
                  </pic:spPr>
                </pic:pic>
              </a:graphicData>
            </a:graphic>
          </wp:inline>
        </w:drawing>
      </w:r>
      <w:r>
        <w:rPr>
          <w:rFonts w:ascii="Google Sans" w:eastAsia="Google Sans" w:hAnsi="Google Sans" w:cs="Google Sans"/>
        </w:rPr>
        <w:t xml:space="preserve"> is the number of features.</w:t>
      </w:r>
    </w:p>
    <w:sectPr w:rsidR="0079033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7FD1DA-5BC7-4B2D-AF91-EE06F9481844}"/>
  </w:font>
  <w:font w:name="Google Sans">
    <w:charset w:val="00"/>
    <w:family w:val="auto"/>
    <w:pitch w:val="default"/>
    <w:embedRegular r:id="rId2" w:fontKey="{53A6C6CE-B076-41F5-8841-B199FC9E971F}"/>
    <w:embedBold r:id="rId3" w:fontKey="{B305C878-D047-46BF-9E25-D00B46197B83}"/>
  </w:font>
  <w:font w:name="Calibri">
    <w:panose1 w:val="020F0502020204030204"/>
    <w:charset w:val="00"/>
    <w:family w:val="swiss"/>
    <w:pitch w:val="variable"/>
    <w:sig w:usb0="E4002EFF" w:usb1="C200247B" w:usb2="00000009" w:usb3="00000000" w:csb0="000001FF" w:csb1="00000000"/>
    <w:embedRegular r:id="rId4" w:fontKey="{6E21E9DF-AC8B-4C86-A3D5-344ACA21165D}"/>
  </w:font>
  <w:font w:name="Cambria">
    <w:panose1 w:val="02040503050406030204"/>
    <w:charset w:val="00"/>
    <w:family w:val="roman"/>
    <w:pitch w:val="variable"/>
    <w:sig w:usb0="E00006FF" w:usb1="420024FF" w:usb2="02000000" w:usb3="00000000" w:csb0="0000019F" w:csb1="00000000"/>
    <w:embedRegular r:id="rId5" w:fontKey="{0E4783EF-0748-42B8-8F17-9DC517DA6E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75E"/>
    <w:multiLevelType w:val="multilevel"/>
    <w:tmpl w:val="2F24D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1345016"/>
    <w:multiLevelType w:val="multilevel"/>
    <w:tmpl w:val="3B7A2E5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D37F4C"/>
    <w:multiLevelType w:val="multilevel"/>
    <w:tmpl w:val="D674C7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930B9A"/>
    <w:multiLevelType w:val="multilevel"/>
    <w:tmpl w:val="8DF20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66F4C3A"/>
    <w:multiLevelType w:val="multilevel"/>
    <w:tmpl w:val="FEC8C2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EB0682"/>
    <w:multiLevelType w:val="multilevel"/>
    <w:tmpl w:val="AD263A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B5546A8"/>
    <w:multiLevelType w:val="multilevel"/>
    <w:tmpl w:val="9B7C7C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50041535">
    <w:abstractNumId w:val="0"/>
  </w:num>
  <w:num w:numId="2" w16cid:durableId="887179806">
    <w:abstractNumId w:val="4"/>
  </w:num>
  <w:num w:numId="3" w16cid:durableId="257565683">
    <w:abstractNumId w:val="2"/>
  </w:num>
  <w:num w:numId="4" w16cid:durableId="546530565">
    <w:abstractNumId w:val="6"/>
  </w:num>
  <w:num w:numId="5" w16cid:durableId="1309747756">
    <w:abstractNumId w:val="1"/>
  </w:num>
  <w:num w:numId="6" w16cid:durableId="301354562">
    <w:abstractNumId w:val="5"/>
  </w:num>
  <w:num w:numId="7" w16cid:durableId="1985306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334"/>
    <w:rsid w:val="000434D1"/>
    <w:rsid w:val="006E42DB"/>
    <w:rsid w:val="0079033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A33C"/>
  <w15:docId w15:val="{38091494-FADB-4E8D-AF83-742BD2D3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T" w:eastAsia="en-A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2026-07-06T12:34:00Z</dcterms:created>
  <dcterms:modified xsi:type="dcterms:W3CDTF">2026-07-06T12:35:00Z</dcterms:modified>
</cp:coreProperties>
</file>