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sz w:val="40"/>
        </w:rPr>
        <w:t>球场边界检测模型训练报告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sz w:val="20"/>
        </w:rPr>
        <w:t>模型 YOLOv8s-seg  ·  单类 basketball_court  ·  AutoDL RTX 4090D</w:t>
      </w:r>
    </w:p>
    <w:p>
      <w:pPr>
        <w:spacing w:after="320"/>
        <w:jc w:val="center"/>
      </w:pPr>
      <w:r>
        <w:rPr>
          <w:rFonts w:ascii="微软雅黑" w:hAnsi="微软雅黑" w:eastAsia="微软雅黑"/>
          <w:b w:val="0"/>
          <w:sz w:val="18"/>
        </w:rPr>
        <w:t>生成日期：2026-10-07</w:t>
      </w:r>
    </w:p>
    <w:p>
      <w:pPr>
        <w:pStyle w:val="Heading1"/>
      </w:pPr>
      <w:r>
        <w:t>1. 任务概述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本任务训练一个球场边界检测模型：在 NBA 比赛转播画面中分割出球场场地的可见范围，输出贴合球场边界的多边形掩膜，可用于后续的场地归一化、球员位置映射与战术分析。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数据为单类别多边形标注（LabelMe 转 YOLO-seg），因此采用实例分割而非纯目标检测：边界框只能给出矩形范围，而多边形掩膜才能表达球场在透视下的真实形状，这正是「边界检测」的关键。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任务类型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实例分割（Segment）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模型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YOLOv8s-seg（预训练权重迁移学习）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类别数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1（basketball_court）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输入尺寸 / 批量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640 × 640 / batch 32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训练轮数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100 epochs（100 轮全部完成，未触发早停）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训练耗时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33.1 分钟（约 19.8 秒/epoch）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最优模型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runs/court_v8s_seg/weights/best.pt（22.7 MB）</w:t>
            </w:r>
          </w:p>
        </w:tc>
      </w:tr>
    </w:tbl>
    <w:p>
      <w:pPr>
        <w:pStyle w:val="Heading1"/>
      </w:pPr>
      <w:r>
        <w:t>2. 数据集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数据来源：本地球场标注工程，原始素材为 2026-02-01 达拉斯独行侠 vs 休斯顿火箭 CCTV 1080P 比赛帧，经 LabelMe 多边形标注后导出为 YOLO-seg 数据集（dataset_v4）。该目录原先缺少 data.yaml，本次已补齐（court_v4.yaml）。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划分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图像数</w:t>
            </w:r>
          </w:p>
        </w:tc>
        <w:tc>
          <w:tcPr>
            <w:tcW w:type="dxa" w:w="208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含球场多边形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无球场（空标注）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多边形实例数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train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2521</w:t>
            </w:r>
          </w:p>
        </w:tc>
        <w:tc>
          <w:tcPr>
            <w:tcW w:type="dxa" w:w="20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862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1659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862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val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629</w:t>
            </w:r>
          </w:p>
        </w:tc>
        <w:tc>
          <w:tcPr>
            <w:tcW w:type="dxa" w:w="20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215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414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215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合计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3150</w:t>
            </w:r>
          </w:p>
        </w:tc>
        <w:tc>
          <w:tcPr>
            <w:tcW w:type="dxa" w:w="20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1077（34%）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2073（66%）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1077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数据校验（服务端逐文件扫描）：3150 个标注文件与 3150 张图像一一配对，无孤立图像或孤立标注，畸形标注 0 个，所有归一化坐标均在 [0,1] 区间内。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空标注的性质：约 66% 的标注文件为空。经逐帧目视核验，这些帧是球员特写、替补席、观众等画面中不含球场的镜头，属于**真实负样本**而非漏标——它们能让模型学会在特写镜头上不误检，对训练是有益的。下图对比了含标注帧与空标注帧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rt_train_frame_00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pty_train_frame_00026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含球场：4 点四边形掩膜紧贴球场边界</w:t>
            </w:r>
          </w:p>
        </w:tc>
        <w:tc>
          <w:tcPr>
            <w:tcW w:type="dxa" w:w="48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空标注：球员特写，画面内无球场（真实负样本）</w:t>
            </w:r>
          </w:p>
        </w:tc>
      </w:tr>
    </w:tbl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1  含标注帧（左）与空标注帧（右）对比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标注多边形顶点数并不固定——球场被画面裁切或遮挡时，标注者用更少或更多的顶点贴合可见边界：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顶点数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 点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 点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6 点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7 点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8 点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9 点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 点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11 点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训练集图像数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260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393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175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21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97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其中 4~6 个顶点占 96%，说明标注以简洁的四边形/五边形为主。</w:t>
      </w:r>
    </w:p>
    <w:p>
      <w:pPr>
        <w:pStyle w:val="Heading1"/>
      </w:pPr>
      <w:r>
        <w:t>3. 训练环境与超参数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705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配置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平台</w:t>
            </w:r>
          </w:p>
        </w:tc>
        <w:tc>
          <w:tcPr>
            <w:tcW w:type="dxa" w:w="705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AutoDL 容器实例（Ubuntu 22.04.3 LTS）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GPU</w:t>
            </w:r>
          </w:p>
        </w:tc>
        <w:tc>
          <w:tcPr>
            <w:tcW w:type="dxa" w:w="705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NVIDIA GeForce RTX 4090 D，24 GB 显存，驱动 595.71.05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CPU / 内存</w:t>
            </w:r>
          </w:p>
        </w:tc>
        <w:tc>
          <w:tcPr>
            <w:tcW w:type="dxa" w:w="705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128 vCPU / 503 GB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框架</w:t>
            </w:r>
          </w:p>
        </w:tc>
        <w:tc>
          <w:tcPr>
            <w:tcW w:type="dxa" w:w="705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Ultralytics 8.4.174 + PyTorch 2.1.2+cu121，Python 3.10.8，CUDA 12.1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数据盘</w:t>
            </w:r>
          </w:p>
        </w:tc>
        <w:tc>
          <w:tcPr>
            <w:tcW w:type="dxa" w:w="705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/root/autodl-tmp（150 GB）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超参数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取值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epochs / patience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100 / 30（未触发早停）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imgsz / batch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640 / 32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optimizer / 初始学习率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auto（自动选择）/ lr0 = 0.01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学习率调度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余弦退火 cos_lr = true，lrf = 0.01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数据增强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Mosaic=1.0、HSV、随机翻转 fliplr=0.5、scale=0.5、translate=0.1；最后 10 轮关闭 Mosaic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AMP 混合精度 / 预训练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开启 / 使用 yolov8s-seg.pt 预训练权重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cache / workers / seed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ram（2521 张全部缓存进内存）/ 16 / 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模型规模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约 1179 万参数，40.2 GFLOPs（训练结构）/ 39.9 GFLOPs（导出融合后）</w:t>
            </w:r>
          </w:p>
        </w:tc>
      </w:tr>
    </w:tbl>
    <w:p>
      <w:pPr>
        <w:pStyle w:val="Heading1"/>
      </w:pPr>
      <w:r>
        <w:t>4. 训练结果</w:t>
      </w:r>
    </w:p>
    <w:p>
      <w:pPr>
        <w:pStyle w:val="Heading2"/>
      </w:pPr>
      <w:r>
        <w:t>4.1 总体指标（best.pt 在验证集上）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分割任务的验证同时给出两类指标：B 为边界框指标，M 为掩膜（多边形）指标。因为只有一个类别，该类的指标即整体指标。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4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指标类型</w:t>
            </w:r>
          </w:p>
        </w:tc>
        <w:tc>
          <w:tcPr>
            <w:tcW w:type="dxa" w:w="165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Precision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Recall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mAP@50</w:t>
            </w:r>
          </w:p>
        </w:tc>
        <w:tc>
          <w:tcPr>
            <w:tcW w:type="dxa" w:w="165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mAP@50-95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边界框 Box(B)</w:t>
            </w:r>
          </w:p>
        </w:tc>
        <w:tc>
          <w:tcPr>
            <w:tcW w:type="dxa" w:w="165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0.9623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0.8301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0.9450</w:t>
            </w:r>
          </w:p>
        </w:tc>
        <w:tc>
          <w:tcPr>
            <w:tcW w:type="dxa" w:w="165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0.8938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掩膜 Mask(M)</w:t>
            </w:r>
          </w:p>
        </w:tc>
        <w:tc>
          <w:tcPr>
            <w:tcW w:type="dxa" w:w="165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0.9300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0.8651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0.9482</w:t>
            </w:r>
          </w:p>
        </w:tc>
        <w:tc>
          <w:tcPr>
            <w:tcW w:type="dxa" w:w="165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0.8652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最优 epoch 为第 68 轮（按掩膜 mAP@50-95 选择），掩膜 mAP@50-95 = 0.8659；最后一轮（第 100 轮）为 0.8483，指标在后 30 轮已进入平台期，训练充分收敛。</w:t>
      </w:r>
    </w:p>
    <w:p>
      <w:pPr>
        <w:pStyle w:val="Heading2"/>
      </w:pPr>
      <w:r>
        <w:t>4.2 推理速度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预处理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推理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后处理</w:t>
            </w:r>
          </w:p>
        </w:tc>
        <w:tc>
          <w:tcPr>
            <w:tcW w:type="dxa" w:w="194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合计（单图）</w:t>
            </w:r>
          </w:p>
        </w:tc>
        <w:tc>
          <w:tcPr>
            <w:tcW w:type="dxa" w:w="194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理论吞吐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1.21 ms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2.14 ms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4.82 ms</w:t>
            </w:r>
          </w:p>
        </w:tc>
        <w:tc>
          <w:tcPr>
            <w:tcW w:type="dxa" w:w="194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8.17 ms</w:t>
            </w:r>
          </w:p>
        </w:tc>
        <w:tc>
          <w:tcPr>
            <w:tcW w:type="dxa" w:w="194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约 122 FPS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单张 1080P 帧端到端约数十毫秒量级，可满足比赛视频逐帧场地分割的实时需求。</w:t>
      </w:r>
    </w:p>
    <w:p>
      <w:pPr>
        <w:pStyle w:val="Heading2"/>
      </w:pPr>
      <w:r>
        <w:t>4.3 训练曲线与混淆矩阵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007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2  训练/验证损失与分割精度曲线（100 epochs）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3  归一化混淆矩阵（球场 / 背景）</w:t>
      </w:r>
    </w:p>
    <w:p>
      <w:pPr>
        <w:pStyle w:val="Heading2"/>
      </w:pPr>
      <w:r>
        <w:t>4.4 验证集分割效果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下图为同一验证批次的真值标注（上）与模型预测（下）对照。逐帧比对可见两类典型表现：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80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label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4  验证批次真值标注（GT）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80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pr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5  验证批次模型预测（掩膜 + 置信度）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1"/>
        </w:rPr>
        <w:t>表现良好：球员特写、替补席、奖杯与演播室画面（如 010089、010096、010103、010140、010147~010161）模型均不产生误检，这正是约 66% 负样本带来的收益；常规全景与半场镜头（010121、010122、010125、009884）的掩膜与真值形状基本吻合。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1"/>
        </w:rPr>
        <w:t>主要不足：底线后视角的远景帧（009987、009989、009991）真值覆盖了球场可见的大部分区域，而模型只预测出画面底部的一条窄带，属于明显的分割不足——这类「球场远端、占比小」的样本是召回率的主要损失来源。</w:t>
      </w:r>
    </w:p>
    <w:p>
      <w:pPr>
        <w:pStyle w:val="Heading1"/>
      </w:pPr>
      <w:r>
        <w:t>5. 与前一次未完成训练的对比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该数据集此前存在一次中断的训练（本地 yolo11n-seg，请求 100 轮但仅记录到 24 轮即停止，损失仍在下降阶段），本次训练将其补完并与该中间结果对照：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65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训练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模型</w:t>
            </w:r>
          </w:p>
        </w:tc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完成轮数</w:t>
            </w:r>
          </w:p>
        </w:tc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Precision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Recall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mAP@50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mAP@50-95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前次（中断）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yolo11n-seg</w:t>
            </w:r>
          </w:p>
        </w:tc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24</w:t>
            </w:r>
          </w:p>
        </w:tc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0.907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0.768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0.897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0.824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本次（完成）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yolov8s-seg</w:t>
            </w:r>
          </w:p>
        </w:tc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  <w:tc>
          <w:tcPr>
            <w:tcW w:type="dxa" w:w="13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0.962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0.830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0.945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0.894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两次训练的召回率接近，说明召回瓶颈来自数据而非训练轮数：约 66% 的帧是球场完全不可见的特写，模型必须同时学会「不误检」和「检出可见球场的任意局部」，而这批标注对「球场只露出很小一角」的情形覆盖不足。</w:t>
      </w:r>
    </w:p>
    <w:p>
      <w:pPr>
        <w:pStyle w:val="Heading1"/>
      </w:pPr>
      <w:r>
        <w:t>6. 结论与建议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1"/>
        </w:rPr>
        <w:t>训练完整跑满 100 个 epoch，掩膜 mAP@50 = 0.948、mAP@50-95 = 0.865，边界框 mAP@50 = 0.945，已能稳定贴合球场可见边界。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1"/>
        </w:rPr>
        <w:t>精度（0.962）明显高于召回（0.830）：模型判断为球场时基本正确，但会漏掉一部分球场画面。这是当前最值得优化的方向。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1"/>
        </w:rPr>
        <w:t>提升召回的最有效手段是补标注，而不是换更大模型：优先标注「球场仅露出一角/被球员大量遮挡」的帧，以及远景全景镜头，这类样本目前偏少。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1"/>
        </w:rPr>
        <w:t>数据集中缺少独立 test 划分，指标全部来自验证集；若需对外汇报严格的泛化指标，建议从现有标注中固定切分一部分作为测试集（或补充其他场次、其他球馆的比赛帧做跨域验证）。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sz w:val="21"/>
        </w:rPr>
        <w:t>标注多边形以 4~6 点为主，边界贴合程度受标注粒度限制；若需要更精细的边线级分割，可考虑改用球场线关键点或更密集的多边形标注。</w:t>
      </w:r>
    </w:p>
    <w:p>
      <w:pPr>
        <w:pStyle w:val="Heading1"/>
      </w:pPr>
      <w:r>
        <w:t>7. 交付物清单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runs/court_v8s_seg/weights/best.pt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最优分割模型权重，可直接用于推理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runs/court_v8s_seg/results.csv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完整训练指标记录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runs/court_v8s_seg/results.png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损失与精度曲线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runs/court_v8s_seg_val/*.png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混淆矩阵与 PR / P / R / F1 曲线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runs/court_v8s_seg/val_batch*_pred.jpg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验证集分割可视化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summary_court_v8s_seg.json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结构化指标汇总（供程序读取）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logs/train_court.log</w:t>
            </w:r>
          </w:p>
        </w:tc>
        <w:tc>
          <w:tcPr>
            <w:tcW w:type="dxa" w:w="47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完整训练日志</w:t>
            </w:r>
          </w:p>
        </w:tc>
      </w:tr>
    </w:tbl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 w:cs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