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1F2937"/>
          <w:sz w:val="40"/>
        </w:rPr>
        <w:t xml:space="preserve">Pathology Notes</w:t>
      </w:r>
    </w:p>
    <w:p>
      <w:r>
        <w:rPr>
          <w:color w:val="64748B"/>
          <w:sz w:val="22"/>
        </w:rPr>
        <w:t xml:space="preserve">Vol. 1 · Cell Injury &amp; Inflammation</w:t>
      </w:r>
    </w:p>
    <w:p>
      <w:r>
        <w:rPr>
          <w:color w:val="2B579A"/>
          <w:sz w:val="22"/>
        </w:rPr>
        <w:t xml:space="preserve">Published by MedNotes Publishing</w:t>
      </w:r>
    </w:p>
    <w:p>
      <w:r>
        <w:rPr>
          <w:b/>
          <w:color w:val="2B579A"/>
          <w:sz w:val="26"/>
        </w:rPr>
        <w:t xml:space="preserve">1.1 Reversible cell injury</w:t>
      </w:r>
    </w:p>
    <w:p>
      <w:r>
        <w:rPr>
          <w:color w:val="1F2937"/>
          <w:sz w:val="22"/>
        </w:rPr>
        <w:t xml:space="preserve">Cellular swelling and fatty change are the hallmarks of reversible injury. If the stimulus is removed, the cell recovers.</w:t>
      </w:r>
    </w:p>
    <w:p>
      <w:r>
        <w:rPr>
          <w:b/>
          <w:color w:val="2B579A"/>
          <w:sz w:val="26"/>
        </w:rPr>
        <w:t xml:space="preserve">1.2 Chemical mediators</w:t>
      </w:r>
    </w:p>
    <w:tbl>
      <w:tblPr>
        <w:tblBorders>
          <w:top w:val="single" w:sz="4"/>
          <w:bottom w:val="single" w:sz="4"/>
          <w:insideH w:val="single" w:sz="4"/>
          <w:insideV w:val="single" w:sz="4"/>
          <w:left w:val="single" w:sz="4"/>
          <w:right w:val="single" w:sz="4"/>
        </w:tblBorders>
      </w:tblPr>
      <w:tr>
        <w:tc>
          <w:p>
            <w:r>
              <w:rPr>
                <w:b/>
              </w:rPr>
              <w:t>Mediator</w:t>
            </w:r>
          </w:p>
        </w:tc>
        <w:tc>
          <w:p>
            <w:r>
              <w:rPr>
                <w:b/>
              </w:rPr>
              <w:t>Source</w:t>
            </w:r>
          </w:p>
        </w:tc>
        <w:tc>
          <w:p>
            <w:r>
              <w:rPr>
                <w:b/>
              </w:rPr>
              <w:t>Effect</w:t>
            </w:r>
          </w:p>
        </w:tc>
      </w:tr>
      <w:tr>
        <w:tc>
          <w:p>
            <w:r>
              <w:t>Histamine</w:t>
            </w:r>
          </w:p>
        </w:tc>
        <w:tc>
          <w:p>
            <w:r>
              <w:t>Mast cells</w:t>
            </w:r>
          </w:p>
        </w:tc>
        <w:tc>
          <w:p>
            <w:r>
              <w:t>Vasodilation</w:t>
            </w:r>
          </w:p>
        </w:tc>
      </w:tr>
      <w:tr>
        <w:tc>
          <w:p>
            <w:r>
              <w:t>Prostaglandin E2</w:t>
            </w:r>
          </w:p>
        </w:tc>
        <w:tc>
          <w:p>
            <w:r>
              <w:t>Leukocytes</w:t>
            </w:r>
          </w:p>
        </w:tc>
        <w:tc>
          <w:p>
            <w:r>
              <w:t>Fever, pain</w:t>
            </w:r>
          </w:p>
        </w:tc>
      </w:tr>
      <w:tr>
        <w:tc>
          <w:p>
            <w:r>
              <w:t>Bradykinin</w:t>
            </w:r>
          </w:p>
        </w:tc>
        <w:tc>
          <w:p>
            <w:r>
              <w:t>Plasma</w:t>
            </w:r>
          </w:p>
        </w:tc>
        <w:tc>
          <w:p>
            <w:r>
              <w:t>Pain, permeability</w:t>
            </w:r>
          </w:p>
        </w:tc>
      </w:tr>
    </w:tbl>
    <w:p>
      <w:r>
        <w:rPr>
          <w:color w:val="64748B"/>
          <w:sz w:val="22"/>
        </w:rPr>
        <w:t xml:space="preserve">Sample document · © MedNotes Publishing</w:t>
      </w:r>
    </w:p>
    <w:sectPr/>
  </w:body>
</w:document>
</file>