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英美比较法文献</w:t>
      </w:r>
    </w:p>
    <w:p>
      <w:pPr>
        <w:pBdr>
          <w:bottom w:val="single" w:sz="8" w:space="14" w:color="1F3864"/>
        </w:pBdr>
        <w:spacing w:before="600" w:after="200"/>
        <w:jc w:val="center"/>
      </w:pPr>
      <w:r>
        <w:rPr>
          <w:rFonts w:ascii="黑体" w:hAnsi="黑体" w:eastAsia="黑体" w:cs="黑体"/>
          <w:b/>
          <w:color w:val="1F3864"/>
          <w:spacing w:val="60"/>
          <w:sz w:val="64"/>
        </w:rPr>
        <w:t>宵禁：法律与实践</w:t>
      </w:r>
    </w:p>
    <w:p>
      <w:pPr>
        <w:spacing w:before="200" w:after="80"/>
        <w:jc w:val="center"/>
      </w:pPr>
      <w:r>
        <w:rPr>
          <w:rFonts w:ascii="Times New Roman" w:hAnsi="Times New Roman" w:eastAsia="宋体" w:cs="Times New Roman"/>
          <w:color w:val="595959"/>
          <w:sz w:val="30"/>
        </w:rPr>
        <w:t>Curfew: Law and Practice in the United States and the United Kingdom</w:t>
      </w:r>
    </w:p>
    <w:p>
      <w:pPr>
        <w:spacing w:before="960" w:after="80"/>
        <w:jc w:val="center"/>
      </w:pPr>
      <w:r>
        <w:rPr>
          <w:rFonts w:ascii="Times New Roman" w:hAnsi="Times New Roman" w:eastAsia="宋体" w:cs="Times New Roman"/>
          <w:color w:val="222222"/>
          <w:sz w:val="22"/>
        </w:rPr>
        <w:t>青少年宵禁 · 紧急宵禁 · 刑事程序宵禁 · 公共卫生宵禁（1899—2024）</w:t>
      </w:r>
    </w:p>
    <w:p>
      <w:pPr>
        <w:spacing w:before="4000" w:after="40"/>
        <w:jc w:val="center"/>
      </w:pPr>
      <w:r>
        <w:rPr>
          <w:rFonts w:ascii="Times New Roman" w:hAnsi="Times New Roman" w:eastAsia="宋体" w:cs="Times New Roman"/>
          <w:color w:val="808080"/>
          <w:sz w:val="17"/>
        </w:rPr>
        <w:t>条文与判决意见据官方文本与公开判例汇编逐字摘录</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宵禁（curfew）在英美法上都不是一个单一制度。它至少包括四种形态：市政条例对未成年人的夜间限制；市长或州长在骚乱、灾害、疫情期间发布的紧急命令；法院对被告设定的保释或量刑条件；以及监狱提前释放时附带的电子监控时段。四者的法律依据、审查标准与救济途径各不相同，混为一谈是讨论中最常见的错误。</w:t>
      </w:r>
    </w:p>
    <w:p>
      <w:pPr>
        <w:spacing w:after="120" w:line="324" w:lineRule="auto"/>
        <w:ind w:firstLine="420"/>
        <w:jc w:val="both"/>
      </w:pPr>
      <w:r>
        <w:rPr>
          <w:rFonts w:ascii="Times New Roman" w:hAnsi="Times New Roman" w:eastAsia="宋体" w:cs="Times New Roman"/>
          <w:color w:val="222222"/>
          <w:sz w:val="19"/>
        </w:rPr>
        <w:t>美国没有统一的联邦宵禁法。青少年宵禁由州授权法之下的市、县条例规定，合宪性争议集中在第十四修正案：未成年人及其父母在抚养、迁徙与结社上的利益是否被过度限制。联邦最高法院从未直接裁断青少年宵禁，只处理过芝加哥的反游荡条例（1999 年），但该案确立的“因含糊而无效”标准，事实上约束着此后宵禁条文的写法。联邦上诉法院之间长期分裂：第五、第四、第二巡回法院维持各有代表性的宵禁条例，第九、第七巡回法院则将其推翻。</w:t>
      </w:r>
    </w:p>
    <w:p>
      <w:pPr>
        <w:spacing w:after="120" w:line="324" w:lineRule="auto"/>
        <w:ind w:firstLine="420"/>
        <w:jc w:val="both"/>
      </w:pPr>
      <w:r>
        <w:rPr>
          <w:rFonts w:ascii="Times New Roman" w:hAnsi="Times New Roman" w:eastAsia="宋体" w:cs="Times New Roman"/>
          <w:color w:val="222222"/>
          <w:sz w:val="19"/>
        </w:rPr>
        <w:t>英国同样没有一部名为“宵禁”的一般性治安法。历史上曾有 1998 年《犯罪与治安紊乱法》第 14 条的“地方儿童宵禁方案”，授权地方当局对十岁以下儿童在指定区域与时段实行宵禁；2003 年《反社会行为法》把适用年龄提高到十六岁，但使用记录接近于零，2010 年 1 月 12 日由 2009 年《警务与犯罪法》整条废止。今天英国实际在用的，是驱散令（2014 年法第 35 条，可要求未满十六岁者回家）、保释与量刑中的“宵禁要求”，以及家庭拘留宵禁（HDC）。</w:t>
      </w:r>
    </w:p>
    <w:p>
      <w:pPr>
        <w:spacing w:after="120" w:line="324" w:lineRule="auto"/>
        <w:ind w:firstLine="420"/>
        <w:jc w:val="both"/>
      </w:pPr>
      <w:r>
        <w:rPr>
          <w:rFonts w:ascii="Times New Roman" w:hAnsi="Times New Roman" w:eastAsia="宋体" w:cs="Times New Roman"/>
          <w:color w:val="222222"/>
          <w:sz w:val="19"/>
        </w:rPr>
        <w:t>实践层面，两国的共同点比分歧更值得注意：青少年宵禁的犯罪预防效果证据薄弱，执行率低且集中于少数街区；紧急宵禁几乎不受有效司法约束；真正高频运转的宵禁在刑事程序之中——它是电子监控与刑罚执行的一部分，而不是治安管理的一部分。</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一、本书按“形态—国别—实践”三层组织：第一章区分四种宵禁，第二至三章论美国，第四至六章论英国，第七至八章比较实践与结论。</w:t>
      </w:r>
    </w:p>
    <w:p>
      <w:pPr>
        <w:spacing w:after="120" w:line="324" w:lineRule="auto"/>
        <w:ind w:firstLine="420"/>
        <w:jc w:val="both"/>
      </w:pPr>
      <w:r>
        <w:rPr>
          <w:rFonts w:ascii="Times New Roman" w:hAnsi="Times New Roman" w:eastAsia="宋体" w:cs="Times New Roman"/>
          <w:color w:val="222222"/>
          <w:sz w:val="19"/>
        </w:rPr>
        <w:t>二、所列条文与判决意见均据官方文本或公开判例汇编逐字摘录，省略处以 [...] 标示；每条末尾注明所据网址。法条以现行文本为准：美国依《美国法典》与官方汇编，英国依 legislation.gov.uk 的现行修订本；个别条文过长时只保留与宵禁直接相关的款项，并在导读中说明。</w:t>
      </w:r>
    </w:p>
    <w:p>
      <w:pPr>
        <w:spacing w:after="120" w:line="324" w:lineRule="auto"/>
        <w:ind w:firstLine="420"/>
        <w:jc w:val="both"/>
      </w:pPr>
      <w:r>
        <w:rPr>
          <w:rFonts w:ascii="Times New Roman" w:hAnsi="Times New Roman" w:eastAsia="宋体" w:cs="Times New Roman"/>
          <w:color w:val="222222"/>
          <w:sz w:val="19"/>
        </w:rPr>
        <w:t>三、英国 1998 年法第 14 条已于 2010 年废止，书中保留其原文与废止说明，是因为它是英语世界唯一以“宵禁”为名的成文治安授权，理解其失败对理解今日英国的替代工具是必要的。</w:t>
      </w:r>
    </w:p>
    <w:p>
      <w:pPr>
        <w:spacing w:after="120" w:line="324" w:lineRule="auto"/>
        <w:ind w:firstLine="420"/>
        <w:jc w:val="both"/>
      </w:pPr>
      <w:r>
        <w:rPr>
          <w:rFonts w:ascii="Times New Roman" w:hAnsi="Times New Roman" w:eastAsia="宋体" w:cs="Times New Roman"/>
          <w:color w:val="222222"/>
          <w:sz w:val="19"/>
        </w:rPr>
        <w:t>四、中文译文供研读参考，不是官方译本；引用时请以英文原文为准。</w:t>
      </w:r>
    </w:p>
    <w:p>
      <w:pPr>
        <w:spacing w:after="120" w:line="324" w:lineRule="auto"/>
        <w:ind w:firstLine="420"/>
        <w:jc w:val="both"/>
      </w:pPr>
      <w:r>
        <w:rPr>
          <w:rFonts w:ascii="Times New Roman" w:hAnsi="Times New Roman" w:eastAsia="宋体" w:cs="Times New Roman"/>
          <w:color w:val="222222"/>
          <w:sz w:val="19"/>
        </w:rPr>
        <w:t>五、本书所称“宵禁”限于对人身行动的时间与地点限制，不含交通管制、戒严与居家令等更宽的紧急措施。</w:t>
      </w:r>
    </w:p>
    <w:p>
      <w:r>
        <w:br w:type="page"/>
      </w:r>
    </w:p>
    <w:p>
      <w:pPr>
        <w:keepNext/>
        <w:pageBreakBefore w:val="0"/>
        <w:spacing w:before="520" w:after="80"/>
      </w:pPr>
      <w:r>
        <w:rPr>
          <w:rFonts w:ascii="Times New Roman" w:hAnsi="Times New Roman" w:eastAsia="宋体" w:cs="Times New Roman"/>
          <w:color w:val="A9812C"/>
          <w:spacing w:val="120"/>
          <w:sz w:val="16"/>
        </w:rPr>
        <w:t>第一章</w:t>
      </w:r>
    </w:p>
    <w:p>
      <w:pPr>
        <w:keepNext/>
        <w:spacing w:before="40" w:after="60"/>
      </w:pPr>
      <w:r>
        <w:rPr>
          <w:rFonts w:ascii="黑体" w:hAnsi="黑体" w:eastAsia="黑体" w:cs="黑体"/>
          <w:b/>
          <w:color w:val="1F3864"/>
          <w:sz w:val="34"/>
        </w:rPr>
        <w:t>四种宵禁：一个分析框架</w:t>
      </w:r>
    </w:p>
    <w:p>
      <w:pPr>
        <w:keepNext/>
        <w:pBdr>
          <w:bottom w:val="single" w:sz="6" w:space="6" w:color="1F3864"/>
        </w:pBdr>
        <w:spacing w:after="280"/>
      </w:pPr>
      <w:r>
        <w:rPr>
          <w:rFonts w:ascii="Times New Roman" w:hAnsi="Times New Roman" w:eastAsia="宋体" w:cs="Times New Roman"/>
          <w:i/>
          <w:color w:val="595959"/>
          <w:sz w:val="20"/>
        </w:rPr>
        <w:t>Four Kinds of Curfew</w:t>
      </w:r>
    </w:p>
    <w:p>
      <w:pPr>
        <w:keepNext w:val="0"/>
        <w:spacing w:after="140" w:line="336" w:lineRule="auto"/>
        <w:jc w:val="both"/>
      </w:pPr>
      <w:r>
        <w:rPr>
          <w:rFonts w:ascii="Times New Roman" w:hAnsi="Times New Roman" w:eastAsia="宋体" w:cs="Times New Roman"/>
          <w:color w:val="222222"/>
          <w:sz w:val="19"/>
        </w:rPr>
        <w:t>讨论宵禁的困难，首先在于词义。英语 curfew 源自中古法语 cuevrefeu（“盖火”），原是中世纪城镇夜间熄灯防火的钟声；今天它指任何以时段划界的人身限制。英美两国都在四种意义上使用这个词，而四者的法律结构完全不同。</w:t>
      </w:r>
    </w:p>
    <w:p>
      <w:pPr>
        <w:keepNext w:val="0"/>
        <w:spacing w:after="140" w:line="336" w:lineRule="auto"/>
        <w:jc w:val="both"/>
      </w:pPr>
      <w:r>
        <w:rPr>
          <w:rFonts w:ascii="Times New Roman" w:hAnsi="Times New Roman" w:eastAsia="宋体" w:cs="Times New Roman"/>
          <w:color w:val="222222"/>
          <w:sz w:val="19"/>
        </w:rPr>
        <w:t>第一，青少年宵禁（juvenile curfew）。以年龄与时段为构成要件，通常禁止未成年人在夜间特定时段出现在公共场所，例外包括上下学、工作、参加宗教或市政活动、紧急情况、有家长或监护人陪同。它是地方立法，争点是宪法。</w:t>
      </w:r>
    </w:p>
    <w:p>
      <w:pPr>
        <w:keepNext w:val="0"/>
        <w:spacing w:after="140" w:line="336" w:lineRule="auto"/>
        <w:jc w:val="both"/>
      </w:pPr>
      <w:r>
        <w:rPr>
          <w:rFonts w:ascii="Times New Roman" w:hAnsi="Times New Roman" w:eastAsia="宋体" w:cs="Times New Roman"/>
          <w:color w:val="222222"/>
          <w:sz w:val="19"/>
        </w:rPr>
        <w:t>第二，紧急宵禁（emergency curfew）。由州长、市长或警察首长依紧急权力法发布，用于骚乱、飓风、疫情。它通常限时、限区，违反者按轻罪处理。争点不是条文是否含糊，而是行政裁量是否明显滥用——法院在这类案件中极少干预。</w:t>
      </w:r>
    </w:p>
    <w:p>
      <w:pPr>
        <w:keepNext w:val="0"/>
        <w:spacing w:after="140" w:line="336" w:lineRule="auto"/>
        <w:jc w:val="both"/>
      </w:pPr>
      <w:r>
        <w:rPr>
          <w:rFonts w:ascii="Times New Roman" w:hAnsi="Times New Roman" w:eastAsia="宋体" w:cs="Times New Roman"/>
          <w:color w:val="222222"/>
          <w:sz w:val="19"/>
        </w:rPr>
        <w:t>第三，刑事程序中的宵禁（curfew as a condition）。它是保释、缓刑、假释或社区刑罚的附款：被告或罪犯必须在特定时段留在特定地址，通常由电子脚环监控。它不针对某一年龄段，也不以“公共秩序”为名，而是以风险控制为名。</w:t>
      </w:r>
    </w:p>
    <w:p>
      <w:pPr>
        <w:keepNext w:val="0"/>
        <w:spacing w:after="140" w:line="336" w:lineRule="auto"/>
        <w:jc w:val="both"/>
      </w:pPr>
      <w:r>
        <w:rPr>
          <w:rFonts w:ascii="Times New Roman" w:hAnsi="Times New Roman" w:eastAsia="宋体" w:cs="Times New Roman"/>
          <w:color w:val="222222"/>
          <w:sz w:val="19"/>
        </w:rPr>
        <w:t>第四，公共卫生宵禁。2020 至 2021 年新冠疫情期间，英美的“宵禁”多属此类：以防疫条例关闭夜间营业、限制夜间出行。其法律基础是公共卫生法与紧急状态法，性质是附属立法，争点通常是比例原则。</w:t>
      </w:r>
    </w:p>
    <w:p>
      <w:pPr>
        <w:keepNext w:val="0"/>
        <w:spacing w:after="140" w:line="336" w:lineRule="auto"/>
        <w:jc w:val="both"/>
      </w:pPr>
      <w:r>
        <w:rPr>
          <w:rFonts w:ascii="Times New Roman" w:hAnsi="Times New Roman" w:eastAsia="宋体" w:cs="Times New Roman"/>
          <w:color w:val="222222"/>
          <w:sz w:val="19"/>
        </w:rPr>
        <w:t>四种宵禁的救济路径也不同：青少年宵禁可以被未成年人或父母起诉；紧急宵禁只能请求司法审查且门槛极高；刑事宵禁通过上诉与保释复核救济；公共卫生宵禁则往往随疫情结束而自然失效，诉讼来不及走完。以下各章按此框架展开。</w:t>
      </w:r>
    </w:p>
    <w:p>
      <w:pPr>
        <w:keepNext/>
        <w:pageBreakBefore/>
        <w:spacing w:before="520" w:after="80"/>
      </w:pPr>
      <w:r>
        <w:rPr>
          <w:rFonts w:ascii="Times New Roman" w:hAnsi="Times New Roman" w:eastAsia="宋体" w:cs="Times New Roman"/>
          <w:color w:val="A9812C"/>
          <w:spacing w:val="120"/>
          <w:sz w:val="16"/>
        </w:rPr>
        <w:t>第二章</w:t>
      </w:r>
    </w:p>
    <w:p>
      <w:pPr>
        <w:keepNext/>
        <w:spacing w:before="40" w:after="60"/>
      </w:pPr>
      <w:r>
        <w:rPr>
          <w:rFonts w:ascii="黑体" w:hAnsi="黑体" w:eastAsia="黑体" w:cs="黑体"/>
          <w:b/>
          <w:color w:val="1F3864"/>
          <w:sz w:val="34"/>
        </w:rPr>
        <w:t>美国：青少年宵禁与宪法审查</w:t>
      </w:r>
    </w:p>
    <w:p>
      <w:pPr>
        <w:keepNext/>
        <w:pBdr>
          <w:bottom w:val="single" w:sz="6" w:space="6" w:color="1F3864"/>
        </w:pBdr>
        <w:spacing w:after="280"/>
      </w:pPr>
      <w:r>
        <w:rPr>
          <w:rFonts w:ascii="Times New Roman" w:hAnsi="Times New Roman" w:eastAsia="宋体" w:cs="Times New Roman"/>
          <w:i/>
          <w:color w:val="595959"/>
          <w:sz w:val="20"/>
        </w:rPr>
        <w:t>Juvenile Curfews and Constitutional Review</w:t>
      </w:r>
    </w:p>
    <w:p>
      <w:pPr>
        <w:keepNext w:val="0"/>
        <w:spacing w:after="140" w:line="336" w:lineRule="auto"/>
        <w:jc w:val="both"/>
      </w:pPr>
      <w:r>
        <w:rPr>
          <w:rFonts w:ascii="Times New Roman" w:hAnsi="Times New Roman" w:eastAsia="宋体" w:cs="Times New Roman"/>
          <w:color w:val="222222"/>
          <w:sz w:val="19"/>
        </w:rPr>
        <w:t>美国的青少年宵禁不是联邦事项。州通过授权法（enabling act）允许市、县立法，条例内容大同小异：禁止未成年人在周日至周四晚十一时至次日清晨六时、周五周六至午夜后出现在公共场所，附若干例外，违者由警察开具告票，家长可能被处以罚款。全国实行此类条例的市镇数以千计。</w:t>
      </w:r>
    </w:p>
    <w:p>
      <w:pPr>
        <w:keepNext w:val="0"/>
        <w:spacing w:after="140" w:line="336" w:lineRule="auto"/>
        <w:jc w:val="both"/>
      </w:pPr>
      <w:r>
        <w:rPr>
          <w:rFonts w:ascii="Times New Roman" w:hAnsi="Times New Roman" w:eastAsia="宋体" w:cs="Times New Roman"/>
          <w:color w:val="222222"/>
          <w:sz w:val="19"/>
        </w:rPr>
        <w:t>合宪性争议有两层。第一层是权利基础：未成年人自身的人身自由与结社利益，加上父母依正当程序条款享有的抚养与教育子女的自由（parental liberty）。第二层是审查标准：如果宵禁触及基本权利，州必须证明其经过“严格审查”（strict scrutiny）——即手段经过精细设计（narrowly tailored）以实现紧迫的政府利益。争的正是这一步。</w:t>
      </w:r>
    </w:p>
    <w:p>
      <w:pPr>
        <w:keepNext w:val="0"/>
        <w:spacing w:after="140" w:line="336" w:lineRule="auto"/>
        <w:jc w:val="both"/>
      </w:pPr>
      <w:r>
        <w:rPr>
          <w:rFonts w:ascii="Times New Roman" w:hAnsi="Times New Roman" w:eastAsia="宋体" w:cs="Times New Roman"/>
          <w:color w:val="222222"/>
          <w:sz w:val="19"/>
        </w:rPr>
        <w:t>第五巡回法院在 Qutb v. Strauss（1993）中维持达拉斯条例，认为宵禁服务于减少青少年犯罪与受害的紧迫利益，且例外条款使其足够精细；第四巡回法院在 Schleifer v. City of Charlottesville（1998）与第二巡回法院在 Ramos v. Town of Vernon（2003）得出类似结论。</w:t>
      </w:r>
    </w:p>
    <w:p>
      <w:pPr>
        <w:keepNext w:val="0"/>
        <w:spacing w:after="140" w:line="336" w:lineRule="auto"/>
        <w:jc w:val="both"/>
      </w:pPr>
      <w:r>
        <w:rPr>
          <w:rFonts w:ascii="Times New Roman" w:hAnsi="Times New Roman" w:eastAsia="宋体" w:cs="Times New Roman"/>
          <w:color w:val="222222"/>
          <w:sz w:val="19"/>
        </w:rPr>
        <w:t>第九巡回法院在 Nunez v. City of San Diego（1997）与第七巡回法院在 Hodgkins v. Peterson（2004）则相反：宵禁把守法的未成年人一并限制在家，手段与目的之间缺乏精细关联；父母有权决定子女的作息，政府不能替代。同一部宪法、同一类条例，结论取决于巡回区。</w:t>
      </w:r>
    </w:p>
    <w:p>
      <w:pPr>
        <w:keepNext w:val="0"/>
        <w:spacing w:after="140" w:line="336" w:lineRule="auto"/>
        <w:jc w:val="both"/>
      </w:pPr>
      <w:r>
        <w:rPr>
          <w:rFonts w:ascii="Times New Roman" w:hAnsi="Times New Roman" w:eastAsia="宋体" w:cs="Times New Roman"/>
          <w:color w:val="222222"/>
          <w:sz w:val="19"/>
        </w:rPr>
        <w:t>联邦最高法院始终回避这个问题。它唯一相关的判决是 City of Chicago v. Morales（1999）：芝加哥的反游荡条例授权警察命令“看似帮派成员”的人在公共场所散开，拒绝者即构成犯罪。法院以六比三认定该条例因含糊而无效——它没有给出警察判断的客观标准，实际上把自由裁量权交给了街头警员。</w:t>
      </w:r>
    </w:p>
    <w:p>
      <w:pPr>
        <w:keepNext w:val="0"/>
        <w:spacing w:after="140" w:line="336" w:lineRule="auto"/>
        <w:jc w:val="both"/>
      </w:pPr>
      <w:r>
        <w:rPr>
          <w:rFonts w:ascii="Times New Roman" w:hAnsi="Times New Roman" w:eastAsia="宋体" w:cs="Times New Roman"/>
          <w:color w:val="222222"/>
          <w:sz w:val="19"/>
        </w:rPr>
        <w:t>Morales 不是宵禁案，却决定了宵禁的起草方式。此后各市在条例中普遍写入明确的时间、地点、年龄与例外清单，并在立法理由中附上本地犯罪数据；起草质量成了合宪性的第一道门槛。至于“严格审查能否通过”，仍取决于巡回区，联邦最高法院至今没有给出统一答案。</w:t>
      </w:r>
    </w:p>
    <w:p>
      <w:pPr>
        <w:keepNext/>
        <w:spacing w:before="440" w:after="40"/>
      </w:pPr>
      <w:r>
        <w:rPr>
          <w:rFonts w:ascii="黑体" w:hAnsi="黑体" w:eastAsia="黑体" w:cs="黑体"/>
          <w:b/>
          <w:color w:val="1F3864"/>
          <w:sz w:val="26"/>
        </w:rPr>
        <w:t>库特布诉斯特劳斯案</w:t>
      </w:r>
    </w:p>
    <w:p>
      <w:pPr>
        <w:keepNext/>
        <w:spacing w:after="60"/>
      </w:pPr>
      <w:r>
        <w:rPr>
          <w:rFonts w:ascii="Times New Roman" w:hAnsi="Times New Roman" w:eastAsia="宋体" w:cs="Times New Roman"/>
          <w:i/>
          <w:color w:val="595959"/>
          <w:sz w:val="18"/>
        </w:rPr>
        <w:t>Qutb v. Strauss</w:t>
      </w:r>
    </w:p>
    <w:p>
      <w:pPr>
        <w:keepNext/>
        <w:spacing w:after="160"/>
      </w:pPr>
      <w:r>
        <w:rPr>
          <w:rFonts w:ascii="Times New Roman" w:hAnsi="Times New Roman" w:eastAsia="宋体" w:cs="Times New Roman"/>
          <w:color w:val="808080"/>
          <w:sz w:val="16"/>
        </w:rPr>
        <w:t>11 F.3d 488（第五巡回法院，1993） · 1993 年 11 月 19 日 · 维持原判 · 合议庭判决</w:t>
      </w:r>
    </w:p>
    <w:p>
      <w:pPr>
        <w:keepNext/>
        <w:spacing w:after="120" w:line="336" w:lineRule="auto"/>
        <w:jc w:val="both"/>
      </w:pPr>
      <w:r>
        <w:rPr>
          <w:rFonts w:ascii="Times New Roman" w:hAnsi="Times New Roman" w:eastAsia="宋体" w:cs="Times New Roman"/>
          <w:color w:val="222222"/>
          <w:sz w:val="19"/>
        </w:rPr>
        <w:t>达拉斯市制定青少年宵禁条例，禁止十七岁以下未成年人在夜间特定时段出现在公共场所，并列举上学、工作、宗教活动、紧急情况与家长陪同等例外。原告以侵犯未成年人及其父母的宪法权利为由起诉。</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Thus, after carefully examining the juvenile curfew ordinance enacted by the city of Dallas, we conclude that it is narrowly tailored to address the city's compelling interest and any burden this ordinance places upon minors' constitutional rights will be minimal.</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因此，在仔细审查达拉斯市制定的青少年宵禁条例之后，我们认定，该条例是为实现该市的重大利益而经严密剪裁的，该条例对未成年人宪法权利所施加的任何负担都将是微小的。</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第五巡回法院推翻了地区法院的禁令，维持条例：法院假定未成年人自由行动权属于基本权利并适用严格审查，认为减少青少年犯罪与受害构成重大利益，而广泛的例外条款使条例成为最小限制手段，故合宪。此案与第九巡回法院的 Nunez 形成正面冲突。</w:t>
      </w:r>
    </w:p>
    <w:p>
      <w:pPr>
        <w:spacing w:before="40" w:after="40"/>
      </w:pPr>
      <w:r>
        <w:rPr>
          <w:rFonts w:ascii="Times New Roman" w:hAnsi="Times New Roman" w:eastAsia="宋体" w:cs="Times New Roman"/>
          <w:color w:val="808080"/>
          <w:sz w:val="15"/>
        </w:rPr>
        <w:t>来源：https://static.case.law/f3d/11/cases/0488-01.json</w:t>
      </w:r>
    </w:p>
    <w:p>
      <w:pPr>
        <w:keepNext/>
        <w:spacing w:before="440" w:after="40"/>
      </w:pPr>
      <w:r>
        <w:rPr>
          <w:rFonts w:ascii="黑体" w:hAnsi="黑体" w:eastAsia="黑体" w:cs="黑体"/>
          <w:b/>
          <w:color w:val="1F3864"/>
          <w:sz w:val="26"/>
        </w:rPr>
        <w:t>努涅斯诉圣迭戈市案</w:t>
      </w:r>
    </w:p>
    <w:p>
      <w:pPr>
        <w:keepNext/>
        <w:spacing w:after="60"/>
      </w:pPr>
      <w:r>
        <w:rPr>
          <w:rFonts w:ascii="Times New Roman" w:hAnsi="Times New Roman" w:eastAsia="宋体" w:cs="Times New Roman"/>
          <w:i/>
          <w:color w:val="595959"/>
          <w:sz w:val="18"/>
        </w:rPr>
        <w:t>Nunez v. City of San Diego</w:t>
      </w:r>
    </w:p>
    <w:p>
      <w:pPr>
        <w:keepNext/>
        <w:spacing w:after="160"/>
      </w:pPr>
      <w:r>
        <w:rPr>
          <w:rFonts w:ascii="Times New Roman" w:hAnsi="Times New Roman" w:eastAsia="宋体" w:cs="Times New Roman"/>
          <w:color w:val="808080"/>
          <w:sz w:val="16"/>
        </w:rPr>
        <w:t>114 F.3d 935（第九巡回法院，1997） · 1997 年 6 月 9 日 · 推翻原判 · 合议庭判决</w:t>
      </w:r>
    </w:p>
    <w:p>
      <w:pPr>
        <w:keepNext/>
        <w:spacing w:after="120" w:line="336" w:lineRule="auto"/>
        <w:jc w:val="both"/>
      </w:pPr>
      <w:r>
        <w:rPr>
          <w:rFonts w:ascii="Times New Roman" w:hAnsi="Times New Roman" w:eastAsia="宋体" w:cs="Times New Roman"/>
          <w:color w:val="222222"/>
          <w:sz w:val="19"/>
        </w:rPr>
        <w:t>圣迭戈市宵禁条例禁止未成年人在夜间留在公共场所，只设极少数例外。原告为一名未成年人及其父母，主张条例侵犯未成年人的行动自由与父母的抚养自由。</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We conclude that the ordinance is not narrowly tailored to meet the City's compelling interests, as required by strict scrutiny. Thus, we hold that the ordinance is unconstitutional even if given a broad construction to avoid vagueness problems.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我们认为，该条例未如严格审查所要求的那样经严密剪裁以实现该市的重大利益。因此，我们认定，即使对该条例作宽泛解释以避免含糊问题，该条例仍属违宪。</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第九巡回法院推翻条例：它未如严格审查所要求那样经严密剪裁，对未成年人受保护的迁徙自由与第一修正案权利施加过度负担，并构成对父母抚育子女之基本权利的不当干预。</w:t>
      </w:r>
    </w:p>
    <w:p>
      <w:pPr>
        <w:spacing w:before="40" w:after="40"/>
      </w:pPr>
      <w:r>
        <w:rPr>
          <w:rFonts w:ascii="Times New Roman" w:hAnsi="Times New Roman" w:eastAsia="宋体" w:cs="Times New Roman"/>
          <w:color w:val="808080"/>
          <w:sz w:val="15"/>
        </w:rPr>
        <w:t>来源：https://static.case.law/f3d/114/cases/0935-01.json</w:t>
      </w:r>
    </w:p>
    <w:p>
      <w:pPr>
        <w:keepNext/>
        <w:spacing w:before="440" w:after="40"/>
      </w:pPr>
      <w:r>
        <w:rPr>
          <w:rFonts w:ascii="黑体" w:hAnsi="黑体" w:eastAsia="黑体" w:cs="黑体"/>
          <w:b/>
          <w:color w:val="1F3864"/>
          <w:sz w:val="26"/>
        </w:rPr>
        <w:t>施莱弗诉夏洛茨维尔市案</w:t>
      </w:r>
    </w:p>
    <w:p>
      <w:pPr>
        <w:keepNext/>
        <w:spacing w:after="60"/>
      </w:pPr>
      <w:r>
        <w:rPr>
          <w:rFonts w:ascii="Times New Roman" w:hAnsi="Times New Roman" w:eastAsia="宋体" w:cs="Times New Roman"/>
          <w:i/>
          <w:color w:val="595959"/>
          <w:sz w:val="18"/>
        </w:rPr>
        <w:t>Schleifer v. City of Charlottesville</w:t>
      </w:r>
    </w:p>
    <w:p>
      <w:pPr>
        <w:keepNext/>
        <w:spacing w:after="160"/>
      </w:pPr>
      <w:r>
        <w:rPr>
          <w:rFonts w:ascii="Times New Roman" w:hAnsi="Times New Roman" w:eastAsia="宋体" w:cs="Times New Roman"/>
          <w:color w:val="808080"/>
          <w:sz w:val="16"/>
        </w:rPr>
        <w:t>159 F.3d 843（第四巡回法院，1998） · 1998 年 10 月 20 日 · 维持原判</w:t>
      </w:r>
    </w:p>
    <w:p>
      <w:pPr>
        <w:keepNext/>
        <w:spacing w:after="120" w:line="336" w:lineRule="auto"/>
        <w:jc w:val="both"/>
      </w:pPr>
      <w:r>
        <w:rPr>
          <w:rFonts w:ascii="Times New Roman" w:hAnsi="Times New Roman" w:eastAsia="宋体" w:cs="Times New Roman"/>
          <w:color w:val="222222"/>
          <w:sz w:val="19"/>
        </w:rPr>
        <w:t>夏洛茨维尔市宵禁条例仅适用于未满十七岁者，宵禁时段较短，并设有八项详细例外，覆盖上学、工作、宗教活动与紧急情况等。</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This curfew, with its narrow scope and comprehensive list of exceptions, represents the least restrictive means to advance Charlottesville's compelling interests.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该宵禁范围狭窄且列有详尽完备的例外，构成推进夏洛茨维尔市重大利益的最小限制手段。</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第四巡回法院维持条例，认为它范围狭窄、例外完备，构成推进该市重大利益的最小限制手段，即使按严格审查标准亦未侵犯未成年人及其父母的宪法权利。</w:t>
      </w:r>
    </w:p>
    <w:p>
      <w:pPr>
        <w:spacing w:before="40" w:after="40"/>
      </w:pPr>
      <w:r>
        <w:rPr>
          <w:rFonts w:ascii="Times New Roman" w:hAnsi="Times New Roman" w:eastAsia="宋体" w:cs="Times New Roman"/>
          <w:color w:val="808080"/>
          <w:sz w:val="15"/>
        </w:rPr>
        <w:t>来源：https://static.case.law/f3d/159/cases/0843-01.json</w:t>
      </w:r>
    </w:p>
    <w:p>
      <w:pPr>
        <w:keepNext/>
        <w:spacing w:before="440" w:after="40"/>
      </w:pPr>
      <w:r>
        <w:rPr>
          <w:rFonts w:ascii="黑体" w:hAnsi="黑体" w:eastAsia="黑体" w:cs="黑体"/>
          <w:b/>
          <w:color w:val="1F3864"/>
          <w:sz w:val="26"/>
        </w:rPr>
        <w:t>芝加哥市诉莫拉莱斯案</w:t>
      </w:r>
    </w:p>
    <w:p>
      <w:pPr>
        <w:keepNext/>
        <w:spacing w:after="60"/>
      </w:pPr>
      <w:r>
        <w:rPr>
          <w:rFonts w:ascii="Times New Roman" w:hAnsi="Times New Roman" w:eastAsia="宋体" w:cs="Times New Roman"/>
          <w:i/>
          <w:color w:val="595959"/>
          <w:sz w:val="18"/>
        </w:rPr>
        <w:t>City of Chicago v. Morales</w:t>
      </w:r>
    </w:p>
    <w:p>
      <w:pPr>
        <w:keepNext/>
        <w:spacing w:after="160"/>
      </w:pPr>
      <w:r>
        <w:rPr>
          <w:rFonts w:ascii="Times New Roman" w:hAnsi="Times New Roman" w:eastAsia="宋体" w:cs="Times New Roman"/>
          <w:color w:val="808080"/>
          <w:sz w:val="16"/>
        </w:rPr>
        <w:t>527 U.S. 41（1999） · 1999 年 6 月 10 日 · 6–3，史蒂文斯法官执笔（第三、四、六部分为相对多数意见）</w:t>
      </w:r>
    </w:p>
    <w:p>
      <w:pPr>
        <w:keepNext/>
        <w:spacing w:after="120" w:line="336" w:lineRule="auto"/>
        <w:jc w:val="both"/>
      </w:pPr>
      <w:r>
        <w:rPr>
          <w:rFonts w:ascii="Times New Roman" w:hAnsi="Times New Roman" w:eastAsia="宋体" w:cs="Times New Roman"/>
          <w:color w:val="222222"/>
          <w:sz w:val="19"/>
        </w:rPr>
        <w:t>芝加哥《反游荡条例》禁止“看似帮派成员”的人在公共场所游荡，并授权警察命令其散开；拒绝服从者构成犯罪。原告主张该条例因含糊而违反正当程序条款。</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(a) Vagueness may invalidate a criminal law for either of two independent reasons. First, it may fail to provide the kind of notice that will enable ordinary people to understand what conduct it prohibits; second, it may authorize and even encourage arbitrary and discriminatory enforcement.</w:t>
        <w:br/>
        <w:t>(b) However, in this instance the city has enacted an ordinance that affords too much discretion to the police and too little notice to citizens who wish to use the public streets.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 含糊可以以下列两项各自独立的事由使刑法无效。第一，它可能未能提供那种足以使普通人理解其禁止何种行为的告知；第二，它可能授权甚至鼓励任意与歧视性的执法。</w:t>
        <w:br/>
        <w:t>(b) 然而，在本案中，该市所制定的条例赋予警察过多的裁量权，而对希望使用公共街道的市民所提供的告知过少。</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联邦最高法院认定条例违宪：它既未给公众以充分告知，又把不受约束的裁量权交给了街头警员。该案成为此后各类青少年宵禁与反游荡立法的起草基准。</w:t>
      </w:r>
    </w:p>
    <w:p>
      <w:pPr>
        <w:spacing w:before="40" w:after="40"/>
      </w:pPr>
      <w:r>
        <w:rPr>
          <w:rFonts w:ascii="Times New Roman" w:hAnsi="Times New Roman" w:eastAsia="宋体" w:cs="Times New Roman"/>
          <w:color w:val="808080"/>
          <w:sz w:val="15"/>
        </w:rPr>
        <w:t>来源：https://static.case.law/us/527/cases/0041-01.json</w:t>
      </w:r>
    </w:p>
    <w:p>
      <w:pPr>
        <w:keepNext/>
        <w:pageBreakBefore/>
        <w:spacing w:before="520" w:after="80"/>
      </w:pPr>
      <w:r>
        <w:rPr>
          <w:rFonts w:ascii="Times New Roman" w:hAnsi="Times New Roman" w:eastAsia="宋体" w:cs="Times New Roman"/>
          <w:color w:val="A9812C"/>
          <w:spacing w:val="120"/>
          <w:sz w:val="16"/>
        </w:rPr>
        <w:t>第三章</w:t>
      </w:r>
    </w:p>
    <w:p>
      <w:pPr>
        <w:keepNext/>
        <w:spacing w:before="40" w:after="60"/>
      </w:pPr>
      <w:r>
        <w:rPr>
          <w:rFonts w:ascii="黑体" w:hAnsi="黑体" w:eastAsia="黑体" w:cs="黑体"/>
          <w:b/>
          <w:color w:val="1F3864"/>
          <w:sz w:val="34"/>
        </w:rPr>
        <w:t>美国：紧急宵禁与刑事程序中的宵禁</w:t>
      </w:r>
    </w:p>
    <w:p>
      <w:pPr>
        <w:keepNext/>
        <w:pBdr>
          <w:bottom w:val="single" w:sz="6" w:space="6" w:color="1F3864"/>
        </w:pBdr>
        <w:spacing w:after="280"/>
      </w:pPr>
      <w:r>
        <w:rPr>
          <w:rFonts w:ascii="Times New Roman" w:hAnsi="Times New Roman" w:eastAsia="宋体" w:cs="Times New Roman"/>
          <w:i/>
          <w:color w:val="595959"/>
          <w:sz w:val="20"/>
        </w:rPr>
        <w:t>Emergency Curfews and Curfews in Criminal Procedure</w:t>
      </w:r>
    </w:p>
    <w:p>
      <w:pPr>
        <w:keepNext w:val="0"/>
        <w:spacing w:after="140" w:line="336" w:lineRule="auto"/>
        <w:jc w:val="both"/>
      </w:pPr>
      <w:r>
        <w:rPr>
          <w:rFonts w:ascii="Times New Roman" w:hAnsi="Times New Roman" w:eastAsia="宋体" w:cs="Times New Roman"/>
          <w:color w:val="222222"/>
          <w:sz w:val="19"/>
        </w:rPr>
        <w:t>紧急宵禁的法律基础在州一级。各州紧急管理法（emergency management act）授权州长在灾害、公共卫生事件或大规模骚乱时宣布紧急状态，并发布限制行动的命令；市长则依市宪章与警察条例发布宵禁。2020 年 5 月明尼阿波利斯事件后，全美数十个城市发布夜间宵禁；同年新冠疫情期间，多州又以公共卫生令限制夜间活动。</w:t>
      </w:r>
    </w:p>
    <w:p>
      <w:pPr>
        <w:keepNext w:val="0"/>
        <w:spacing w:after="140" w:line="336" w:lineRule="auto"/>
        <w:jc w:val="both"/>
      </w:pPr>
      <w:r>
        <w:rPr>
          <w:rFonts w:ascii="Times New Roman" w:hAnsi="Times New Roman" w:eastAsia="宋体" w:cs="Times New Roman"/>
          <w:color w:val="222222"/>
          <w:sz w:val="19"/>
        </w:rPr>
        <w:t>这类命令在法院面前几乎没有对手。审查标准是合理基础（rational basis）或高度尊重行政判断，原告须证明命令“明显恣意”。法院通常认为，在紧急状态持续期间，短时、限区、有明确起止时间的宵禁属于经典的治安措施，不构成对集会或迁徙权利的实质剥夺。紧急状态结束后命令即失效，诉讼往往因失去实际意义（mootness）被驳回。</w:t>
      </w:r>
    </w:p>
    <w:p>
      <w:pPr>
        <w:keepNext w:val="0"/>
        <w:spacing w:after="140" w:line="336" w:lineRule="auto"/>
        <w:jc w:val="both"/>
      </w:pPr>
      <w:r>
        <w:rPr>
          <w:rFonts w:ascii="Times New Roman" w:hAnsi="Times New Roman" w:eastAsia="宋体" w:cs="Times New Roman"/>
          <w:color w:val="222222"/>
          <w:sz w:val="19"/>
        </w:rPr>
        <w:t>刑事程序中的宵禁则是另一回事：它不叫“宵禁法”，而叫“释放条件”。联邦与各州的审前释放制度允许法院附加限制住居、禁止夜间外出、接受电子监控等条件；判处缓刑或监督释放时，宵禁同样可以作为条件写入。其正当性来自风险控制——被告在特定时段出现在特定地点，风险更低——而非公共秩序。</w:t>
      </w:r>
    </w:p>
    <w:p>
      <w:pPr>
        <w:keepNext w:val="0"/>
        <w:spacing w:after="140" w:line="336" w:lineRule="auto"/>
        <w:jc w:val="both"/>
      </w:pPr>
      <w:r>
        <w:rPr>
          <w:rFonts w:ascii="Times New Roman" w:hAnsi="Times New Roman" w:eastAsia="宋体" w:cs="Times New Roman"/>
          <w:color w:val="222222"/>
          <w:sz w:val="19"/>
        </w:rPr>
        <w:t>这类宵禁的救济是程序性的：被告可以请求复核释放条件、以上诉挑战条件过严，或在违反条件被收监后申请人身保护令。法院审查的重点是条件与风险之间是否有关联，而不是宵禁本身是否合宪。换言之，成年人的宵禁在美国主要是一个保释与量刑问题，而不是治安立法问题。</w:t>
      </w:r>
    </w:p>
    <w:p>
      <w:pPr>
        <w:keepNext/>
        <w:pageBreakBefore/>
        <w:spacing w:before="520" w:after="80"/>
      </w:pPr>
      <w:r>
        <w:rPr>
          <w:rFonts w:ascii="Times New Roman" w:hAnsi="Times New Roman" w:eastAsia="宋体" w:cs="Times New Roman"/>
          <w:color w:val="A9812C"/>
          <w:spacing w:val="120"/>
          <w:sz w:val="16"/>
        </w:rPr>
        <w:t>第四章</w:t>
      </w:r>
    </w:p>
    <w:p>
      <w:pPr>
        <w:keepNext/>
        <w:spacing w:before="40" w:after="60"/>
      </w:pPr>
      <w:r>
        <w:rPr>
          <w:rFonts w:ascii="黑体" w:hAnsi="黑体" w:eastAsia="黑体" w:cs="黑体"/>
          <w:b/>
          <w:color w:val="1F3864"/>
          <w:sz w:val="34"/>
        </w:rPr>
        <w:t>英国：从地方儿童宵禁方案到驱散令</w:t>
      </w:r>
    </w:p>
    <w:p>
      <w:pPr>
        <w:keepNext/>
        <w:pBdr>
          <w:bottom w:val="single" w:sz="6" w:space="6" w:color="1F3864"/>
        </w:pBdr>
        <w:spacing w:after="280"/>
      </w:pPr>
      <w:r>
        <w:rPr>
          <w:rFonts w:ascii="Times New Roman" w:hAnsi="Times New Roman" w:eastAsia="宋体" w:cs="Times New Roman"/>
          <w:i/>
          <w:color w:val="595959"/>
          <w:sz w:val="20"/>
        </w:rPr>
        <w:t>From Local Child Curfew Schemes to Dispersal Orders</w:t>
      </w:r>
    </w:p>
    <w:p>
      <w:pPr>
        <w:keepNext w:val="0"/>
        <w:spacing w:after="140" w:line="336" w:lineRule="auto"/>
        <w:jc w:val="both"/>
      </w:pPr>
      <w:r>
        <w:rPr>
          <w:rFonts w:ascii="Times New Roman" w:hAnsi="Times New Roman" w:eastAsia="宋体" w:cs="Times New Roman"/>
          <w:color w:val="222222"/>
          <w:sz w:val="19"/>
        </w:rPr>
        <w:t>英国法的起点是 1998 年《犯罪与治安紊乱法》第 14 条。该条授权地方当局制定“地方儿童宵禁方案”，对十岁以下儿童在指定区域发出禁令：晚九时至次日晨六时之间，不得在无父母或十八岁以上负责人有效照管的情况下出现在公共场所。禁令期限不超过九十日；方案须征询辖区警察局长，经地方当局盖印、由国务大臣确认后方可生效，宵禁通知须张贴于区域内显眼处。</w:t>
      </w:r>
    </w:p>
    <w:p>
      <w:pPr>
        <w:keepNext w:val="0"/>
        <w:spacing w:after="140" w:line="336" w:lineRule="auto"/>
        <w:jc w:val="both"/>
      </w:pPr>
      <w:r>
        <w:rPr>
          <w:rFonts w:ascii="Times New Roman" w:hAnsi="Times New Roman" w:eastAsia="宋体" w:cs="Times New Roman"/>
          <w:color w:val="222222"/>
          <w:sz w:val="19"/>
        </w:rPr>
        <w:t>这套设计的程序负担很重——征询、盖印、部长确认、张贴公告，缺一不可。2003 年《反社会行为法》把适用年龄从十岁提高到十六岁，试图扩大适用面，但使用记录依然接近于零：目标人群极小，而公告与执行的行政成本由地方承担，社区也不愿被贴上“儿童失控”的标签。</w:t>
      </w:r>
    </w:p>
    <w:p>
      <w:pPr>
        <w:keepNext w:val="0"/>
        <w:spacing w:after="140" w:line="336" w:lineRule="auto"/>
        <w:jc w:val="both"/>
      </w:pPr>
      <w:r>
        <w:rPr>
          <w:rFonts w:ascii="Times New Roman" w:hAnsi="Times New Roman" w:eastAsia="宋体" w:cs="Times New Roman"/>
          <w:color w:val="222222"/>
          <w:sz w:val="19"/>
        </w:rPr>
        <w:t>2010 年 1 月 12 日，2009 年《警务与犯罪法》将第 14 条整条废止。四年后，2014 年《反社会行为、犯罪与警务法》另建一套工具：驱散令允许警察在授权区域内要求有反社会行为之虞的人离开，并可禁止其在四十八小时内返回；对未满十六岁者，警察可将其送至其居住地或安全场所（第 35 条第 (7) 款）。此外还有公共空间保护令（PSPO），由地方当局设定行为限制，并可对违反者处以定额罚款。</w:t>
      </w:r>
    </w:p>
    <w:p>
      <w:pPr>
        <w:keepNext w:val="0"/>
        <w:spacing w:after="140" w:line="336" w:lineRule="auto"/>
        <w:jc w:val="both"/>
      </w:pPr>
      <w:r>
        <w:rPr>
          <w:rFonts w:ascii="Times New Roman" w:hAnsi="Times New Roman" w:eastAsia="宋体" w:cs="Times New Roman"/>
          <w:color w:val="222222"/>
          <w:sz w:val="19"/>
        </w:rPr>
        <w:t>替代工具的关键差别在于：它不以年龄和时段划线，而以行为与地点划线。警察不需要证明“这个孩子不该在街上”，只需说明“这个人在这个地点有反社会行为之虞”。这降低了举证门槛，也把裁量权从地方议会转到了街头警员。英国的青少年宵禁，实际上是被“去宵禁化”了。</w:t>
      </w:r>
    </w:p>
    <w:p>
      <w:pPr>
        <w:keepNext/>
        <w:spacing w:before="400" w:after="40"/>
      </w:pPr>
      <w:r>
        <w:rPr>
          <w:rFonts w:ascii="黑体" w:hAnsi="黑体" w:eastAsia="黑体" w:cs="黑体"/>
          <w:b/>
          <w:color w:val="1F3864"/>
          <w:sz w:val="26"/>
        </w:rPr>
        <w:t>《犯罪与治安紊乱法》第 14 条（地方儿童宵禁方案）</w:t>
      </w:r>
    </w:p>
    <w:p>
      <w:pPr>
        <w:keepNext/>
        <w:spacing w:after="60"/>
      </w:pPr>
      <w:r>
        <w:rPr>
          <w:rFonts w:ascii="Times New Roman" w:hAnsi="Times New Roman" w:eastAsia="宋体" w:cs="Times New Roman"/>
          <w:color w:val="595959"/>
          <w:sz w:val="18"/>
        </w:rPr>
        <w:t>Crime and Disorder Act 1998, s. 14</w:t>
      </w:r>
    </w:p>
    <w:p>
      <w:pPr>
        <w:keepNext/>
        <w:spacing w:after="160"/>
      </w:pPr>
      <w:r>
        <w:rPr>
          <w:rFonts w:ascii="Times New Roman" w:hAnsi="Times New Roman" w:eastAsia="宋体" w:cs="Times New Roman"/>
          <w:color w:val="808080"/>
          <w:sz w:val="16"/>
        </w:rPr>
        <w:t>1998 年 7 月 31 日 · 2003 年将年龄上限提高到十六岁 · 2010 年 1 月 12 日废止</w:t>
      </w:r>
    </w:p>
    <w:p>
      <w:pPr>
        <w:keepNext w:val="0"/>
        <w:spacing w:after="120" w:line="336" w:lineRule="auto"/>
        <w:jc w:val="both"/>
      </w:pPr>
      <w:r>
        <w:rPr>
          <w:rFonts w:ascii="Times New Roman" w:hAnsi="Times New Roman" w:eastAsia="宋体" w:cs="Times New Roman"/>
          <w:color w:val="222222"/>
          <w:sz w:val="19"/>
        </w:rPr>
        <w:t>该条是英语世界唯一以“宵禁”为名的成文治安授权：地方当局可对十岁以下儿童在指定区域与时段实行宵禁，须经征询、盖印与国务大臣确认，期限不超过九十日。因程序繁重、目标人群小，几乎未被使用。下列文本为 1998 年原文（as enacted）。</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14 Local child curfew schemes</w:t>
      </w:r>
      <w:r>
        <w:br/>
      </w:r>
      <w:r>
        <w:rPr>
          <w:rFonts w:ascii="Times New Roman" w:hAnsi="Times New Roman" w:eastAsia="宋体" w:cs="Times New Roman"/>
          <w:color w:val="222222"/>
          <w:sz w:val="19"/>
        </w:rPr>
        <w:t>(1) A local authority may make a scheme (a “local child curfew scheme”) for enabling the authority—</w:t>
      </w:r>
      <w:r>
        <w:br/>
      </w:r>
      <w:r>
        <w:rPr>
          <w:rFonts w:ascii="Times New Roman" w:hAnsi="Times New Roman" w:eastAsia="宋体" w:cs="Times New Roman"/>
          <w:color w:val="222222"/>
          <w:sz w:val="19"/>
        </w:rPr>
        <w:t>(a) subject to and in accordance with the provisions of the scheme; and</w:t>
      </w:r>
      <w:r>
        <w:br/>
      </w:r>
      <w:r>
        <w:rPr>
          <w:rFonts w:ascii="Times New Roman" w:hAnsi="Times New Roman" w:eastAsia="宋体" w:cs="Times New Roman"/>
          <w:color w:val="222222"/>
          <w:sz w:val="19"/>
        </w:rPr>
        <w:t>(b) if, after such consultation as is required by the scheme, the authority considers it necessary to do so for the purpose of maintaining order,</w:t>
      </w:r>
      <w:r>
        <w:br/>
      </w:r>
      <w:r>
        <w:rPr>
          <w:rFonts w:ascii="Times New Roman" w:hAnsi="Times New Roman" w:eastAsia="宋体" w:cs="Times New Roman"/>
          <w:color w:val="222222"/>
          <w:sz w:val="19"/>
        </w:rPr>
        <w:t>to give a notice imposing, for a specified period (not exceeding 90 days), a ban to which subsection (2) below applies.</w:t>
      </w:r>
      <w:r>
        <w:br/>
      </w:r>
      <w:r>
        <w:rPr>
          <w:rFonts w:ascii="Times New Roman" w:hAnsi="Times New Roman" w:eastAsia="宋体" w:cs="Times New Roman"/>
          <w:color w:val="222222"/>
          <w:sz w:val="19"/>
        </w:rPr>
        <w:t>(2) This subsection applies to a ban on children of specified ages (under 10) being in a public place within a specified area—</w:t>
      </w:r>
      <w:r>
        <w:br/>
      </w:r>
      <w:r>
        <w:rPr>
          <w:rFonts w:ascii="Times New Roman" w:hAnsi="Times New Roman" w:eastAsia="宋体" w:cs="Times New Roman"/>
          <w:color w:val="222222"/>
          <w:sz w:val="19"/>
        </w:rPr>
        <w:t>(a) during specified hours (between 9 pm and 6 am); and</w:t>
      </w:r>
      <w:r>
        <w:br/>
      </w:r>
      <w:r>
        <w:rPr>
          <w:rFonts w:ascii="Times New Roman" w:hAnsi="Times New Roman" w:eastAsia="宋体" w:cs="Times New Roman"/>
          <w:color w:val="222222"/>
          <w:sz w:val="19"/>
        </w:rPr>
        <w:t>(b) otherwise than under the effective control of a parent or a responsible person aged 18 or over.</w:t>
      </w:r>
      <w:r>
        <w:br/>
      </w:r>
      <w:r>
        <w:rPr>
          <w:rFonts w:ascii="Times New Roman" w:hAnsi="Times New Roman" w:eastAsia="宋体" w:cs="Times New Roman"/>
          <w:color w:val="222222"/>
          <w:sz w:val="19"/>
        </w:rPr>
        <w:t>(3) Before making a local child curfew scheme, a local authority shall consult—</w:t>
      </w:r>
      <w:r>
        <w:br/>
      </w:r>
      <w:r>
        <w:rPr>
          <w:rFonts w:ascii="Times New Roman" w:hAnsi="Times New Roman" w:eastAsia="宋体" w:cs="Times New Roman"/>
          <w:color w:val="222222"/>
          <w:sz w:val="19"/>
        </w:rPr>
        <w:t>(a) every chief officer of police any part of whose police area lies within its area; and</w:t>
      </w:r>
      <w:r>
        <w:br/>
      </w:r>
      <w:r>
        <w:rPr>
          <w:rFonts w:ascii="Times New Roman" w:hAnsi="Times New Roman" w:eastAsia="宋体" w:cs="Times New Roman"/>
          <w:color w:val="222222"/>
          <w:sz w:val="19"/>
        </w:rPr>
        <w:t>(b) such other persons or bodies as it considers appropriate.</w:t>
      </w:r>
      <w:r>
        <w:br/>
      </w:r>
      <w:r>
        <w:rPr>
          <w:rFonts w:ascii="Times New Roman" w:hAnsi="Times New Roman" w:eastAsia="宋体" w:cs="Times New Roman"/>
          <w:color w:val="222222"/>
          <w:sz w:val="19"/>
        </w:rPr>
        <w:t>(4) A local child curfew scheme shall be made under the common seal of the local authority and shall not have effect until it is confirmed by the Secretary of State.</w:t>
      </w:r>
      <w:r>
        <w:br/>
      </w:r>
      <w:r>
        <w:rPr>
          <w:rFonts w:ascii="Times New Roman" w:hAnsi="Times New Roman" w:eastAsia="宋体" w:cs="Times New Roman"/>
          <w:color w:val="222222"/>
          <w:sz w:val="19"/>
        </w:rPr>
        <w:t>(5) The Secretary of State—</w:t>
      </w:r>
      <w:r>
        <w:br/>
      </w:r>
      <w:r>
        <w:rPr>
          <w:rFonts w:ascii="Times New Roman" w:hAnsi="Times New Roman" w:eastAsia="宋体" w:cs="Times New Roman"/>
          <w:color w:val="222222"/>
          <w:sz w:val="19"/>
        </w:rPr>
        <w:t>(a) may confirm, or refuse to confirm, a local child curfew scheme submitted under this section for confirmation; and</w:t>
      </w:r>
      <w:r>
        <w:br/>
      </w:r>
      <w:r>
        <w:rPr>
          <w:rFonts w:ascii="Times New Roman" w:hAnsi="Times New Roman" w:eastAsia="宋体" w:cs="Times New Roman"/>
          <w:color w:val="222222"/>
          <w:sz w:val="19"/>
        </w:rPr>
        <w:t>(b) may fix the date on which such a scheme is to come into operation;</w:t>
      </w:r>
      <w:r>
        <w:br/>
      </w:r>
      <w:r>
        <w:rPr>
          <w:rFonts w:ascii="Times New Roman" w:hAnsi="Times New Roman" w:eastAsia="宋体" w:cs="Times New Roman"/>
          <w:color w:val="222222"/>
          <w:sz w:val="19"/>
        </w:rPr>
        <w:t>and if no date is so fixed, the scheme shall come into operation at the end of the period of one month beginning with the date of its confirmation.</w:t>
      </w:r>
      <w:r>
        <w:br/>
      </w:r>
      <w:r>
        <w:rPr>
          <w:rFonts w:ascii="Times New Roman" w:hAnsi="Times New Roman" w:eastAsia="宋体" w:cs="Times New Roman"/>
          <w:color w:val="222222"/>
          <w:sz w:val="19"/>
        </w:rPr>
        <w:t>(6) A notice given under a local child curfew scheme (a “curfew notice”) may specify different hours in relation to children of different ages.</w:t>
      </w:r>
      <w:r>
        <w:br/>
      </w:r>
      <w:r>
        <w:rPr>
          <w:rFonts w:ascii="Times New Roman" w:hAnsi="Times New Roman" w:eastAsia="宋体" w:cs="Times New Roman"/>
          <w:color w:val="222222"/>
          <w:sz w:val="19"/>
        </w:rPr>
        <w:t>(7) A curfew notice shall be given—</w:t>
      </w:r>
      <w:r>
        <w:br/>
      </w:r>
      <w:r>
        <w:rPr>
          <w:rFonts w:ascii="Times New Roman" w:hAnsi="Times New Roman" w:eastAsia="宋体" w:cs="Times New Roman"/>
          <w:color w:val="222222"/>
          <w:sz w:val="19"/>
        </w:rPr>
        <w:t>(a) by posting the notice in some conspicuous place or places within the specified area; and</w:t>
      </w:r>
      <w:r>
        <w:br/>
      </w:r>
      <w:r>
        <w:rPr>
          <w:rFonts w:ascii="Times New Roman" w:hAnsi="Times New Roman" w:eastAsia="宋体" w:cs="Times New Roman"/>
          <w:color w:val="222222"/>
          <w:sz w:val="19"/>
        </w:rPr>
        <w:t>(b) in such other manner, if any, as appears to the local authority to be desirable for giving publicity to the notice.</w:t>
      </w:r>
      <w:r>
        <w:br/>
      </w:r>
      <w:r>
        <w:rPr>
          <w:rFonts w:ascii="Times New Roman" w:hAnsi="Times New Roman" w:eastAsia="宋体" w:cs="Times New Roman"/>
          <w:color w:val="222222"/>
          <w:sz w:val="19"/>
        </w:rPr>
        <w:t>(8) In this section—</w:t>
      </w:r>
      <w:r>
        <w:br/>
      </w:r>
      <w:r>
        <w:rPr>
          <w:rFonts w:ascii="Times New Roman" w:hAnsi="Times New Roman" w:eastAsia="宋体" w:cs="Times New Roman"/>
          <w:color w:val="222222"/>
          <w:sz w:val="19"/>
        </w:rPr>
        <w:t>“local authority” means—</w:t>
      </w:r>
      <w:r>
        <w:br/>
      </w:r>
      <w:r>
        <w:rPr>
          <w:rFonts w:ascii="Times New Roman" w:hAnsi="Times New Roman" w:eastAsia="宋体" w:cs="Times New Roman"/>
          <w:color w:val="222222"/>
          <w:sz w:val="19"/>
        </w:rPr>
        <w:t>(a) in relation to England, the council of a district or London borough, the Common Council of the City of London, the Council of the Isle of Wight and the Council of the Isles of Scilly;</w:t>
      </w:r>
      <w:r>
        <w:br/>
      </w:r>
      <w:r>
        <w:rPr>
          <w:rFonts w:ascii="Times New Roman" w:hAnsi="Times New Roman" w:eastAsia="宋体" w:cs="Times New Roman"/>
          <w:color w:val="222222"/>
          <w:sz w:val="19"/>
        </w:rPr>
        <w:t>(b) in relation to Wales, the council of a county or county borough;</w:t>
      </w:r>
      <w:r>
        <w:br/>
      </w:r>
      <w:r>
        <w:rPr>
          <w:rFonts w:ascii="Times New Roman" w:hAnsi="Times New Roman" w:eastAsia="宋体" w:cs="Times New Roman"/>
          <w:color w:val="222222"/>
          <w:sz w:val="19"/>
        </w:rPr>
        <w:t>“public place” has the same meaning as in Part II of the Public Order Act 1986.</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14 地方儿童宵禁方案</w:t>
      </w:r>
      <w:r>
        <w:br/>
      </w:r>
      <w:r>
        <w:rPr>
          <w:rFonts w:ascii="Times New Roman" w:hAnsi="Times New Roman" w:eastAsia="宋体" w:cs="Times New Roman"/>
          <w:color w:val="595959"/>
          <w:sz w:val="19"/>
        </w:rPr>
        <w:t>(1) 地方当局可制定一项方案（"地方儿童宵禁方案"），使该当局能够——</w:t>
      </w:r>
      <w:r>
        <w:br/>
      </w:r>
      <w:r>
        <w:rPr>
          <w:rFonts w:ascii="Times New Roman" w:hAnsi="Times New Roman" w:eastAsia="宋体" w:cs="Times New Roman"/>
          <w:color w:val="595959"/>
          <w:sz w:val="19"/>
        </w:rPr>
        <w:t>(a) 在遵守并依照该方案各项规定的前提下；且</w:t>
      </w:r>
      <w:r>
        <w:br/>
      </w:r>
      <w:r>
        <w:rPr>
          <w:rFonts w:ascii="Times New Roman" w:hAnsi="Times New Roman" w:eastAsia="宋体" w:cs="Times New Roman"/>
          <w:color w:val="595959"/>
          <w:sz w:val="19"/>
        </w:rPr>
        <w:t>(b) 在经该方案所要求的协商后，如该当局认为为维持秩序而有此必要，</w:t>
      </w:r>
      <w:r>
        <w:br/>
      </w:r>
      <w:r>
        <w:rPr>
          <w:rFonts w:ascii="Times New Roman" w:hAnsi="Times New Roman" w:eastAsia="宋体" w:cs="Times New Roman"/>
          <w:color w:val="595959"/>
          <w:sz w:val="19"/>
        </w:rPr>
        <w:t>发出通知，对第(2)款所适用的禁令，在特定期间内（不超过90日）予以实施。</w:t>
      </w:r>
      <w:r>
        <w:br/>
      </w:r>
      <w:r>
        <w:rPr>
          <w:rFonts w:ascii="Times New Roman" w:hAnsi="Times New Roman" w:eastAsia="宋体" w:cs="Times New Roman"/>
          <w:color w:val="595959"/>
          <w:sz w:val="19"/>
        </w:rPr>
        <w:t>(2) 本款适用于禁止特定年龄（10岁以下）的儿童在特定区域内的公共场所作出以下情形的禁令——</w:t>
      </w:r>
      <w:r>
        <w:br/>
      </w:r>
      <w:r>
        <w:rPr>
          <w:rFonts w:ascii="Times New Roman" w:hAnsi="Times New Roman" w:eastAsia="宋体" w:cs="Times New Roman"/>
          <w:color w:val="595959"/>
          <w:sz w:val="19"/>
        </w:rPr>
        <w:t>(a) 于特定时段（晚9时至晨6时之间）；且</w:t>
      </w:r>
      <w:r>
        <w:br/>
      </w:r>
      <w:r>
        <w:rPr>
          <w:rFonts w:ascii="Times New Roman" w:hAnsi="Times New Roman" w:eastAsia="宋体" w:cs="Times New Roman"/>
          <w:color w:val="595959"/>
          <w:sz w:val="19"/>
        </w:rPr>
        <w:t>(b) 非在父母或18岁以上的负责任者的有效照管之下。</w:t>
      </w:r>
      <w:r>
        <w:br/>
      </w:r>
      <w:r>
        <w:rPr>
          <w:rFonts w:ascii="Times New Roman" w:hAnsi="Times New Roman" w:eastAsia="宋体" w:cs="Times New Roman"/>
          <w:color w:val="595959"/>
          <w:sz w:val="19"/>
        </w:rPr>
        <w:t>(3) 在制定地方儿童宵禁方案之前，地方当局应征询——</w:t>
      </w:r>
      <w:r>
        <w:br/>
      </w:r>
      <w:r>
        <w:rPr>
          <w:rFonts w:ascii="Times New Roman" w:hAnsi="Times New Roman" w:eastAsia="宋体" w:cs="Times New Roman"/>
          <w:color w:val="595959"/>
          <w:sz w:val="19"/>
        </w:rPr>
        <w:t>(a) 其警区有任何部分位于该当局区域内的每一位警察局长；以及</w:t>
      </w:r>
      <w:r>
        <w:br/>
      </w:r>
      <w:r>
        <w:rPr>
          <w:rFonts w:ascii="Times New Roman" w:hAnsi="Times New Roman" w:eastAsia="宋体" w:cs="Times New Roman"/>
          <w:color w:val="595959"/>
          <w:sz w:val="19"/>
        </w:rPr>
        <w:t>(b) 该当局认为适当的其他人员或机构。</w:t>
      </w:r>
      <w:r>
        <w:br/>
      </w:r>
      <w:r>
        <w:rPr>
          <w:rFonts w:ascii="Times New Roman" w:hAnsi="Times New Roman" w:eastAsia="宋体" w:cs="Times New Roman"/>
          <w:color w:val="595959"/>
          <w:sz w:val="19"/>
        </w:rPr>
        <w:t>(4) 地方儿童宵禁方案应以地方当局的印章（common seal）作出，并在经国务大臣确认之前不发生效力。</w:t>
      </w:r>
      <w:r>
        <w:br/>
      </w:r>
      <w:r>
        <w:rPr>
          <w:rFonts w:ascii="Times New Roman" w:hAnsi="Times New Roman" w:eastAsia="宋体" w:cs="Times New Roman"/>
          <w:color w:val="595959"/>
          <w:sz w:val="19"/>
        </w:rPr>
        <w:t>(5) 国务大臣——</w:t>
      </w:r>
      <w:r>
        <w:br/>
      </w:r>
      <w:r>
        <w:rPr>
          <w:rFonts w:ascii="Times New Roman" w:hAnsi="Times New Roman" w:eastAsia="宋体" w:cs="Times New Roman"/>
          <w:color w:val="595959"/>
          <w:sz w:val="19"/>
        </w:rPr>
        <w:t>(a) 可确认或拒绝确认依本条提交确认的地方儿童宵禁方案；且</w:t>
      </w:r>
      <w:r>
        <w:br/>
      </w:r>
      <w:r>
        <w:rPr>
          <w:rFonts w:ascii="Times New Roman" w:hAnsi="Times New Roman" w:eastAsia="宋体" w:cs="Times New Roman"/>
          <w:color w:val="595959"/>
          <w:sz w:val="19"/>
        </w:rPr>
        <w:t>(b) 可确定该方案开始实施的日期；</w:t>
      </w:r>
      <w:r>
        <w:br/>
      </w:r>
      <w:r>
        <w:rPr>
          <w:rFonts w:ascii="Times New Roman" w:hAnsi="Times New Roman" w:eastAsia="宋体" w:cs="Times New Roman"/>
          <w:color w:val="595959"/>
          <w:sz w:val="19"/>
        </w:rPr>
        <w:t>如未如此确定日期，该方案应于其确认之日起一个月期间届满时开始实施。</w:t>
      </w:r>
      <w:r>
        <w:br/>
      </w:r>
      <w:r>
        <w:rPr>
          <w:rFonts w:ascii="Times New Roman" w:hAnsi="Times New Roman" w:eastAsia="宋体" w:cs="Times New Roman"/>
          <w:color w:val="595959"/>
          <w:sz w:val="19"/>
        </w:rPr>
        <w:t>(6) 依地方儿童宵禁方案发出的通知（"宵禁通知"），可对不同年龄的儿童规定不同的时段。</w:t>
      </w:r>
      <w:r>
        <w:br/>
      </w:r>
      <w:r>
        <w:rPr>
          <w:rFonts w:ascii="Times New Roman" w:hAnsi="Times New Roman" w:eastAsia="宋体" w:cs="Times New Roman"/>
          <w:color w:val="595959"/>
          <w:sz w:val="19"/>
        </w:rPr>
        <w:t>(7) 宵禁通知应以如下方式发出——</w:t>
      </w:r>
      <w:r>
        <w:br/>
      </w:r>
      <w:r>
        <w:rPr>
          <w:rFonts w:ascii="Times New Roman" w:hAnsi="Times New Roman" w:eastAsia="宋体" w:cs="Times New Roman"/>
          <w:color w:val="595959"/>
          <w:sz w:val="19"/>
        </w:rPr>
        <w:t>(a) 将通知张贴于特定区域内一处或多处显眼地点；且</w:t>
      </w:r>
      <w:r>
        <w:br/>
      </w:r>
      <w:r>
        <w:rPr>
          <w:rFonts w:ascii="Times New Roman" w:hAnsi="Times New Roman" w:eastAsia="宋体" w:cs="Times New Roman"/>
          <w:color w:val="595959"/>
          <w:sz w:val="19"/>
        </w:rPr>
        <w:t>(b) 以地方当局认为为公告该通知而属可取的其他方式（如有）。</w:t>
      </w:r>
      <w:r>
        <w:br/>
      </w:r>
      <w:r>
        <w:rPr>
          <w:rFonts w:ascii="Times New Roman" w:hAnsi="Times New Roman" w:eastAsia="宋体" w:cs="Times New Roman"/>
          <w:color w:val="595959"/>
          <w:sz w:val="19"/>
        </w:rPr>
        <w:t>(8) 本条中——</w:t>
      </w:r>
      <w:r>
        <w:br/>
      </w:r>
      <w:r>
        <w:rPr>
          <w:rFonts w:ascii="Times New Roman" w:hAnsi="Times New Roman" w:eastAsia="宋体" w:cs="Times New Roman"/>
          <w:color w:val="595959"/>
          <w:sz w:val="19"/>
        </w:rPr>
        <w:t>"地方当局"指——</w:t>
      </w:r>
      <w:r>
        <w:br/>
      </w:r>
      <w:r>
        <w:rPr>
          <w:rFonts w:ascii="Times New Roman" w:hAnsi="Times New Roman" w:eastAsia="宋体" w:cs="Times New Roman"/>
          <w:color w:val="595959"/>
          <w:sz w:val="19"/>
        </w:rPr>
        <w:t>(a) 就英格兰而言，区议会或伦敦自治市议会、伦敦市法团（Common Council of the City of London）、怀特岛议会及锡利群岛议会；</w:t>
      </w:r>
      <w:r>
        <w:br/>
      </w:r>
      <w:r>
        <w:rPr>
          <w:rFonts w:ascii="Times New Roman" w:hAnsi="Times New Roman" w:eastAsia="宋体" w:cs="Times New Roman"/>
          <w:color w:val="595959"/>
          <w:sz w:val="19"/>
        </w:rPr>
        <w:t>(b) 就威尔士而言，郡议会或郡自治市议会；</w:t>
      </w:r>
      <w:r>
        <w:br/>
      </w:r>
      <w:r>
        <w:rPr>
          <w:rFonts w:ascii="Times New Roman" w:hAnsi="Times New Roman" w:eastAsia="宋体" w:cs="Times New Roman"/>
          <w:color w:val="595959"/>
          <w:sz w:val="19"/>
        </w:rPr>
        <w:t>"公共场所"与1986年《公共秩序法》第II部中的含义相同。</w:t>
      </w:r>
      <w:r>
        <w:br/>
      </w:r>
      <w:r>
        <w:rPr>
          <w:rFonts w:ascii="Times New Roman" w:hAnsi="Times New Roman" w:eastAsia="宋体" w:cs="Times New Roman"/>
          <w:color w:val="808080"/>
          <w:sz w:val="15"/>
        </w:rPr>
        <w:t>来源：https://www.legislation.gov.uk/ukpga/1998/37/section/14/enacted</w:t>
      </w:r>
    </w:p>
    <w:p>
      <w:pPr>
        <w:keepNext/>
        <w:spacing w:before="400" w:after="40"/>
      </w:pPr>
      <w:r>
        <w:rPr>
          <w:rFonts w:ascii="黑体" w:hAnsi="黑体" w:eastAsia="黑体" w:cs="黑体"/>
          <w:b/>
          <w:color w:val="1F3864"/>
          <w:sz w:val="26"/>
        </w:rPr>
        <w:t>《反社会行为、犯罪与警务法》第 35 条（驱散令）</w:t>
      </w:r>
    </w:p>
    <w:p>
      <w:pPr>
        <w:keepNext/>
        <w:spacing w:after="60"/>
      </w:pPr>
      <w:r>
        <w:rPr>
          <w:rFonts w:ascii="Times New Roman" w:hAnsi="Times New Roman" w:eastAsia="宋体" w:cs="Times New Roman"/>
          <w:color w:val="595959"/>
          <w:sz w:val="18"/>
        </w:rPr>
        <w:t>Anti-social Behaviour, Crime and Policing Act 2014, s. 35</w:t>
      </w:r>
    </w:p>
    <w:p>
      <w:pPr>
        <w:keepNext/>
        <w:spacing w:after="160"/>
      </w:pPr>
      <w:r>
        <w:rPr>
          <w:rFonts w:ascii="Times New Roman" w:hAnsi="Times New Roman" w:eastAsia="宋体" w:cs="Times New Roman"/>
          <w:color w:val="808080"/>
          <w:sz w:val="16"/>
        </w:rPr>
        <w:t>2014 年 3 月 13 日 · 2014 年 10 月 20 日生效 · 英格兰与威尔士</w:t>
      </w:r>
    </w:p>
    <w:p>
      <w:pPr>
        <w:keepNext w:val="0"/>
        <w:spacing w:after="120" w:line="336" w:lineRule="auto"/>
        <w:jc w:val="both"/>
      </w:pPr>
      <w:r>
        <w:rPr>
          <w:rFonts w:ascii="Times New Roman" w:hAnsi="Times New Roman" w:eastAsia="宋体" w:cs="Times New Roman"/>
          <w:color w:val="222222"/>
          <w:sz w:val="19"/>
        </w:rPr>
        <w:t>驱散令接替了儿童宵禁方案：警察可在授权区域内要求有反社会行为之虞者离开，并可禁止其四十八小时内返回；对未满十六岁者，可将该人送至其居住地或安全场所。</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PART 3 Dispersal powers</w:t>
      </w:r>
      <w:r>
        <w:br/>
      </w:r>
      <w:r>
        <w:rPr>
          <w:rFonts w:ascii="Times New Roman" w:hAnsi="Times New Roman" w:eastAsia="宋体" w:cs="Times New Roman"/>
          <w:color w:val="222222"/>
          <w:sz w:val="19"/>
        </w:rPr>
        <w:t>35 Directions excluding a person from an area</w:t>
      </w:r>
      <w:r>
        <w:br/>
      </w:r>
      <w:r>
        <w:rPr>
          <w:rFonts w:ascii="Times New Roman" w:hAnsi="Times New Roman" w:eastAsia="宋体" w:cs="Times New Roman"/>
          <w:color w:val="222222"/>
          <w:sz w:val="19"/>
        </w:rPr>
        <w:t>(1) If the conditions in subsections (2) and (3) are met and an authorisation is in force under section 34, a constable in uniform may direct a person who is in a public place in the locality specified in the authorisation—</w:t>
      </w:r>
      <w:r>
        <w:br/>
      </w:r>
      <w:r>
        <w:rPr>
          <w:rFonts w:ascii="Times New Roman" w:hAnsi="Times New Roman" w:eastAsia="宋体" w:cs="Times New Roman"/>
          <w:color w:val="222222"/>
          <w:sz w:val="19"/>
        </w:rPr>
        <w:t>(a) to leave the locality (or part of the locality), and</w:t>
      </w:r>
      <w:r>
        <w:br/>
      </w:r>
      <w:r>
        <w:rPr>
          <w:rFonts w:ascii="Times New Roman" w:hAnsi="Times New Roman" w:eastAsia="宋体" w:cs="Times New Roman"/>
          <w:color w:val="222222"/>
          <w:sz w:val="19"/>
        </w:rPr>
        <w:t>(b) not to return to the locality (or part of the locality) for the period specified in the direction (“the exclusion period”).</w:t>
      </w:r>
      <w:r>
        <w:br/>
      </w:r>
      <w:r>
        <w:rPr>
          <w:rFonts w:ascii="Times New Roman" w:hAnsi="Times New Roman" w:eastAsia="宋体" w:cs="Times New Roman"/>
          <w:color w:val="222222"/>
          <w:sz w:val="19"/>
        </w:rPr>
        <w:t>(2) The first condition is that the constable has reasonable grounds to suspect that the behaviour of the person in the locality has contributed or is likely to contribute to—</w:t>
      </w:r>
      <w:r>
        <w:br/>
      </w:r>
      <w:r>
        <w:rPr>
          <w:rFonts w:ascii="Times New Roman" w:hAnsi="Times New Roman" w:eastAsia="宋体" w:cs="Times New Roman"/>
          <w:color w:val="222222"/>
          <w:sz w:val="19"/>
        </w:rPr>
        <w:t>(a) members of the public in the locality being harassed, alarmed or distressed, or</w:t>
      </w:r>
      <w:r>
        <w:br/>
      </w:r>
      <w:r>
        <w:rPr>
          <w:rFonts w:ascii="Times New Roman" w:hAnsi="Times New Roman" w:eastAsia="宋体" w:cs="Times New Roman"/>
          <w:color w:val="222222"/>
          <w:sz w:val="19"/>
        </w:rPr>
        <w:t>(b) the occurrence in the locality of crime or disorder.</w:t>
      </w:r>
      <w:r>
        <w:br/>
      </w:r>
      <w:r>
        <w:rPr>
          <w:rFonts w:ascii="Times New Roman" w:hAnsi="Times New Roman" w:eastAsia="宋体" w:cs="Times New Roman"/>
          <w:color w:val="222222"/>
          <w:sz w:val="19"/>
        </w:rPr>
        <w:t>(3) The second condition is that the constable considers that giving a direction to the person is necessary for the purpose of removing or reducing the likelihood of the events mentioned in subsection (2)(a) or (b).</w:t>
      </w:r>
      <w:r>
        <w:br/>
      </w:r>
      <w:r>
        <w:rPr>
          <w:rFonts w:ascii="Times New Roman" w:hAnsi="Times New Roman" w:eastAsia="宋体" w:cs="Times New Roman"/>
          <w:color w:val="222222"/>
          <w:sz w:val="19"/>
        </w:rPr>
        <w:t>(4) The exclusion period may not exceed 48 hours.</w:t>
      </w:r>
      <w:r>
        <w:br/>
      </w:r>
      <w:r>
        <w:rPr>
          <w:rFonts w:ascii="Times New Roman" w:hAnsi="Times New Roman" w:eastAsia="宋体" w:cs="Times New Roman"/>
          <w:color w:val="222222"/>
          <w:sz w:val="19"/>
        </w:rPr>
        <w:t>The period may expire after (as long as it begins during) the period specified in the authorisation under section 34.</w:t>
      </w:r>
      <w:r>
        <w:br/>
      </w:r>
      <w:r>
        <w:rPr>
          <w:rFonts w:ascii="Times New Roman" w:hAnsi="Times New Roman" w:eastAsia="宋体" w:cs="Times New Roman"/>
          <w:color w:val="222222"/>
          <w:sz w:val="19"/>
        </w:rPr>
        <w:t>(5) A direction under this section—</w:t>
      </w:r>
      <w:r>
        <w:br/>
      </w:r>
      <w:r>
        <w:rPr>
          <w:rFonts w:ascii="Times New Roman" w:hAnsi="Times New Roman" w:eastAsia="宋体" w:cs="Times New Roman"/>
          <w:color w:val="222222"/>
          <w:sz w:val="19"/>
        </w:rPr>
        <w:t>(a) must be given in writing, unless that is not reasonably practicable;</w:t>
      </w:r>
      <w:r>
        <w:br/>
      </w:r>
      <w:r>
        <w:rPr>
          <w:rFonts w:ascii="Times New Roman" w:hAnsi="Times New Roman" w:eastAsia="宋体" w:cs="Times New Roman"/>
          <w:color w:val="222222"/>
          <w:sz w:val="19"/>
        </w:rPr>
        <w:t>(b) must specify the area to which it relates;</w:t>
      </w:r>
      <w:r>
        <w:br/>
      </w:r>
      <w:r>
        <w:rPr>
          <w:rFonts w:ascii="Times New Roman" w:hAnsi="Times New Roman" w:eastAsia="宋体" w:cs="Times New Roman"/>
          <w:color w:val="222222"/>
          <w:sz w:val="19"/>
        </w:rPr>
        <w:t>(c) may impose requirements as to the time by which the person must leave the area and the manner in which the person must do so (including the route).</w:t>
      </w:r>
      <w:r>
        <w:br/>
      </w:r>
      <w:r>
        <w:rPr>
          <w:rFonts w:ascii="Times New Roman" w:hAnsi="Times New Roman" w:eastAsia="宋体" w:cs="Times New Roman"/>
          <w:color w:val="222222"/>
          <w:sz w:val="19"/>
        </w:rPr>
        <w:t>(6) The constable must (unless it is not reasonably practicable) tell the person to whom the direction is given that failing without reasonable excuse to comply with the direction is an offence.</w:t>
      </w:r>
      <w:r>
        <w:br/>
      </w:r>
      <w:r>
        <w:rPr>
          <w:rFonts w:ascii="Times New Roman" w:hAnsi="Times New Roman" w:eastAsia="宋体" w:cs="Times New Roman"/>
          <w:color w:val="222222"/>
          <w:sz w:val="19"/>
        </w:rPr>
        <w:t>(7) If the constable reasonably believes that the person to whom the direction is given is under the age of 16, the constable may remove the person to a place where the person lives or a place of safety.</w:t>
      </w:r>
      <w:r>
        <w:br/>
      </w:r>
      <w:r>
        <w:rPr>
          <w:rFonts w:ascii="Times New Roman" w:hAnsi="Times New Roman" w:eastAsia="宋体" w:cs="Times New Roman"/>
          <w:color w:val="222222"/>
          <w:sz w:val="19"/>
        </w:rPr>
        <w:t>(8) Any constable may withdraw or vary a direction under this section; but a variation must not extend the duration of a direction beyond 48 hours from when it was first given.</w:t>
      </w:r>
      <w:r>
        <w:br/>
      </w:r>
      <w:r>
        <w:rPr>
          <w:rFonts w:ascii="Times New Roman" w:hAnsi="Times New Roman" w:eastAsia="宋体" w:cs="Times New Roman"/>
          <w:color w:val="222222"/>
          <w:sz w:val="19"/>
        </w:rPr>
        <w:t>(9) Notice of a withdrawal or variation of a direction—</w:t>
      </w:r>
      <w:r>
        <w:br/>
      </w:r>
      <w:r>
        <w:rPr>
          <w:rFonts w:ascii="Times New Roman" w:hAnsi="Times New Roman" w:eastAsia="宋体" w:cs="Times New Roman"/>
          <w:color w:val="222222"/>
          <w:sz w:val="19"/>
        </w:rPr>
        <w:t>(a) must be given to the person to whom the direction was given, unless that is not reasonably practicable, and</w:t>
      </w:r>
      <w:r>
        <w:br/>
      </w:r>
      <w:r>
        <w:rPr>
          <w:rFonts w:ascii="Times New Roman" w:hAnsi="Times New Roman" w:eastAsia="宋体" w:cs="Times New Roman"/>
          <w:color w:val="222222"/>
          <w:sz w:val="19"/>
        </w:rPr>
        <w:t>(b) if given, must be given in writing unless that is not reasonably practicable.</w:t>
      </w:r>
      <w:r>
        <w:br/>
      </w:r>
      <w:r>
        <w:rPr>
          <w:rFonts w:ascii="Times New Roman" w:hAnsi="Times New Roman" w:eastAsia="宋体" w:cs="Times New Roman"/>
          <w:color w:val="222222"/>
          <w:sz w:val="19"/>
        </w:rPr>
        <w:t>(10) In this section “public place” means a place to which at the material time the public or a section of the public has access, on payment or otherwise, as of right or by virtue of express or implied permission.</w:t>
      </w:r>
      <w:r>
        <w:br/>
      </w:r>
      <w:r>
        <w:rPr>
          <w:rFonts w:ascii="Times New Roman" w:hAnsi="Times New Roman" w:eastAsia="宋体" w:cs="Times New Roman"/>
          <w:color w:val="222222"/>
          <w:sz w:val="19"/>
        </w:rPr>
        <w:t>(11) In this Part “exclusion period” has the meaning given by subsection (1)(b).</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第3部分 驱离权力</w:t>
      </w:r>
      <w:r>
        <w:br/>
      </w:r>
      <w:r>
        <w:rPr>
          <w:rFonts w:ascii="Times New Roman" w:hAnsi="Times New Roman" w:eastAsia="宋体" w:cs="Times New Roman"/>
          <w:color w:val="595959"/>
          <w:sz w:val="19"/>
        </w:rPr>
        <w:t>35 将某人排除于某区域之外的指示</w:t>
      </w:r>
      <w:r>
        <w:br/>
      </w:r>
      <w:r>
        <w:rPr>
          <w:rFonts w:ascii="Times New Roman" w:hAnsi="Times New Roman" w:eastAsia="宋体" w:cs="Times New Roman"/>
          <w:color w:val="595959"/>
          <w:sz w:val="19"/>
        </w:rPr>
        <w:t>(1) 如第(2)款与第(3)款的条件均已满足，且依第34条作出的授权正在有效期内，穿制服的警察可指示位于该授权所指明地区内公共场所的人——</w:t>
      </w:r>
      <w:r>
        <w:br/>
      </w:r>
      <w:r>
        <w:rPr>
          <w:rFonts w:ascii="Times New Roman" w:hAnsi="Times New Roman" w:eastAsia="宋体" w:cs="Times New Roman"/>
          <w:color w:val="595959"/>
          <w:sz w:val="19"/>
        </w:rPr>
        <w:t>(a) 离开该地区（或该地区的一部分）；且</w:t>
      </w:r>
      <w:r>
        <w:br/>
      </w:r>
      <w:r>
        <w:rPr>
          <w:rFonts w:ascii="Times New Roman" w:hAnsi="Times New Roman" w:eastAsia="宋体" w:cs="Times New Roman"/>
          <w:color w:val="595959"/>
          <w:sz w:val="19"/>
        </w:rPr>
        <w:t>(b) 在指示所指明的期间内（"排除期间"）不得返回该地区（或该地区的一部分）。</w:t>
      </w:r>
      <w:r>
        <w:br/>
      </w:r>
      <w:r>
        <w:rPr>
          <w:rFonts w:ascii="Times New Roman" w:hAnsi="Times New Roman" w:eastAsia="宋体" w:cs="Times New Roman"/>
          <w:color w:val="595959"/>
          <w:sz w:val="19"/>
        </w:rPr>
        <w:t>(2) 第一项条件是，该警察有合理理由怀疑该人在该地区的行为已经促成或可能促成——</w:t>
      </w:r>
      <w:r>
        <w:br/>
      </w:r>
      <w:r>
        <w:rPr>
          <w:rFonts w:ascii="Times New Roman" w:hAnsi="Times New Roman" w:eastAsia="宋体" w:cs="Times New Roman"/>
          <w:color w:val="595959"/>
          <w:sz w:val="19"/>
        </w:rPr>
        <w:t>(a) 该地区公众受到骚扰、惊扰或困扰；或</w:t>
      </w:r>
      <w:r>
        <w:br/>
      </w:r>
      <w:r>
        <w:rPr>
          <w:rFonts w:ascii="Times New Roman" w:hAnsi="Times New Roman" w:eastAsia="宋体" w:cs="Times New Roman"/>
          <w:color w:val="595959"/>
          <w:sz w:val="19"/>
        </w:rPr>
        <w:t>(b) 该地区发生犯罪或扰乱秩序。</w:t>
      </w:r>
      <w:r>
        <w:br/>
      </w:r>
      <w:r>
        <w:rPr>
          <w:rFonts w:ascii="Times New Roman" w:hAnsi="Times New Roman" w:eastAsia="宋体" w:cs="Times New Roman"/>
          <w:color w:val="595959"/>
          <w:sz w:val="19"/>
        </w:rPr>
        <w:t>(3) 第二项条件是，该警察认为向该人发出指示，对于消除或减少第(2)款(a)项或(b)项所述事件发生的可能性而言是必要的。</w:t>
      </w:r>
      <w:r>
        <w:br/>
      </w:r>
      <w:r>
        <w:rPr>
          <w:rFonts w:ascii="Times New Roman" w:hAnsi="Times New Roman" w:eastAsia="宋体" w:cs="Times New Roman"/>
          <w:color w:val="595959"/>
          <w:sz w:val="19"/>
        </w:rPr>
        <w:t>(4) 排除期间不得超过48小时。</w:t>
      </w:r>
      <w:r>
        <w:br/>
      </w:r>
      <w:r>
        <w:rPr>
          <w:rFonts w:ascii="Times New Roman" w:hAnsi="Times New Roman" w:eastAsia="宋体" w:cs="Times New Roman"/>
          <w:color w:val="595959"/>
          <w:sz w:val="19"/>
        </w:rPr>
        <w:t>该期间可在第34条授权所指明期间届满之后届满（只要其开始于该期间之内）。</w:t>
      </w:r>
      <w:r>
        <w:br/>
      </w:r>
      <w:r>
        <w:rPr>
          <w:rFonts w:ascii="Times New Roman" w:hAnsi="Times New Roman" w:eastAsia="宋体" w:cs="Times New Roman"/>
          <w:color w:val="595959"/>
          <w:sz w:val="19"/>
        </w:rPr>
        <w:t>(5) 本条所指指示——</w:t>
      </w:r>
      <w:r>
        <w:br/>
      </w:r>
      <w:r>
        <w:rPr>
          <w:rFonts w:ascii="Times New Roman" w:hAnsi="Times New Roman" w:eastAsia="宋体" w:cs="Times New Roman"/>
          <w:color w:val="595959"/>
          <w:sz w:val="19"/>
        </w:rPr>
        <w:t>(a) 必须以书面作出，除非这样做并非合理可行；</w:t>
      </w:r>
      <w:r>
        <w:br/>
      </w:r>
      <w:r>
        <w:rPr>
          <w:rFonts w:ascii="Times New Roman" w:hAnsi="Times New Roman" w:eastAsia="宋体" w:cs="Times New Roman"/>
          <w:color w:val="595959"/>
          <w:sz w:val="19"/>
        </w:rPr>
        <w:t>(b) 必须指明其所涉及的区域；</w:t>
      </w:r>
      <w:r>
        <w:br/>
      </w:r>
      <w:r>
        <w:rPr>
          <w:rFonts w:ascii="Times New Roman" w:hAnsi="Times New Roman" w:eastAsia="宋体" w:cs="Times New Roman"/>
          <w:color w:val="595959"/>
          <w:sz w:val="19"/>
        </w:rPr>
        <w:t>(c) 可就该人必须离开该区域的时间及方式（包括路线）规定要求。</w:t>
      </w:r>
      <w:r>
        <w:br/>
      </w:r>
      <w:r>
        <w:rPr>
          <w:rFonts w:ascii="Times New Roman" w:hAnsi="Times New Roman" w:eastAsia="宋体" w:cs="Times New Roman"/>
          <w:color w:val="595959"/>
          <w:sz w:val="19"/>
        </w:rPr>
        <w:t>(6) 该警察必须（除非这样做并非合理可行）告知被指示人：无合理理由不遵守该指示即属犯罪。</w:t>
      </w:r>
      <w:r>
        <w:br/>
      </w:r>
      <w:r>
        <w:rPr>
          <w:rFonts w:ascii="Times New Roman" w:hAnsi="Times New Roman" w:eastAsia="宋体" w:cs="Times New Roman"/>
          <w:color w:val="595959"/>
          <w:sz w:val="19"/>
        </w:rPr>
        <w:t>(7) 如该警察合理认为被指示人未满16岁，该警察可将该人送至其居住地或安全场所。</w:t>
      </w:r>
      <w:r>
        <w:br/>
      </w:r>
      <w:r>
        <w:rPr>
          <w:rFonts w:ascii="Times New Roman" w:hAnsi="Times New Roman" w:eastAsia="宋体" w:cs="Times New Roman"/>
          <w:color w:val="595959"/>
          <w:sz w:val="19"/>
        </w:rPr>
        <w:t>(8) 任何警察均可撤回或变更本条所指指示；但变更不得使指示的持续时间超过自其首次发出时起48小时。</w:t>
      </w:r>
      <w:r>
        <w:br/>
      </w:r>
      <w:r>
        <w:rPr>
          <w:rFonts w:ascii="Times New Roman" w:hAnsi="Times New Roman" w:eastAsia="宋体" w:cs="Times New Roman"/>
          <w:color w:val="595959"/>
          <w:sz w:val="19"/>
        </w:rPr>
        <w:t>(9) 关于撤回或变更指示的通知——</w:t>
      </w:r>
      <w:r>
        <w:br/>
      </w:r>
      <w:r>
        <w:rPr>
          <w:rFonts w:ascii="Times New Roman" w:hAnsi="Times New Roman" w:eastAsia="宋体" w:cs="Times New Roman"/>
          <w:color w:val="595959"/>
          <w:sz w:val="19"/>
        </w:rPr>
        <w:t>(a) 必须给予被指示人，除非这样做并非合理可行；且</w:t>
      </w:r>
      <w:r>
        <w:br/>
      </w:r>
      <w:r>
        <w:rPr>
          <w:rFonts w:ascii="Times New Roman" w:hAnsi="Times New Roman" w:eastAsia="宋体" w:cs="Times New Roman"/>
          <w:color w:val="595959"/>
          <w:sz w:val="19"/>
        </w:rPr>
        <w:t>(b) 如予给予，必须以书面作出，除非这样做并非合理可行。</w:t>
      </w:r>
      <w:r>
        <w:br/>
      </w:r>
      <w:r>
        <w:rPr>
          <w:rFonts w:ascii="Times New Roman" w:hAnsi="Times New Roman" w:eastAsia="宋体" w:cs="Times New Roman"/>
          <w:color w:val="595959"/>
          <w:sz w:val="19"/>
        </w:rPr>
        <w:t>(10) 本条中"公共场所"指在相关时间公众或公众的一部分可付费或以其他方式、依权利或依明示或默示许可进入的场所。</w:t>
      </w:r>
      <w:r>
        <w:br/>
      </w:r>
      <w:r>
        <w:rPr>
          <w:rFonts w:ascii="Times New Roman" w:hAnsi="Times New Roman" w:eastAsia="宋体" w:cs="Times New Roman"/>
          <w:color w:val="595959"/>
          <w:sz w:val="19"/>
        </w:rPr>
        <w:t>(11) 本部分中，"排除期间"具有第(1)款(b)项所赋予的含义。</w:t>
      </w:r>
      <w:r>
        <w:br/>
      </w:r>
      <w:r>
        <w:rPr>
          <w:rFonts w:ascii="Times New Roman" w:hAnsi="Times New Roman" w:eastAsia="宋体" w:cs="Times New Roman"/>
          <w:color w:val="808080"/>
          <w:sz w:val="15"/>
        </w:rPr>
        <w:t>来源：https://www.legislation.gov.uk/ukpga/2014/12/section/35</w:t>
      </w:r>
    </w:p>
    <w:p>
      <w:pPr>
        <w:keepNext/>
        <w:pageBreakBefore/>
        <w:spacing w:before="520" w:after="80"/>
      </w:pPr>
      <w:r>
        <w:rPr>
          <w:rFonts w:ascii="Times New Roman" w:hAnsi="Times New Roman" w:eastAsia="宋体" w:cs="Times New Roman"/>
          <w:color w:val="A9812C"/>
          <w:spacing w:val="120"/>
          <w:sz w:val="16"/>
        </w:rPr>
        <w:t>第五章</w:t>
      </w:r>
    </w:p>
    <w:p>
      <w:pPr>
        <w:keepNext/>
        <w:spacing w:before="40" w:after="60"/>
      </w:pPr>
      <w:r>
        <w:rPr>
          <w:rFonts w:ascii="黑体" w:hAnsi="黑体" w:eastAsia="黑体" w:cs="黑体"/>
          <w:b/>
          <w:color w:val="1F3864"/>
          <w:sz w:val="34"/>
        </w:rPr>
        <w:t>英国：刑事司法中的宵禁</w:t>
      </w:r>
    </w:p>
    <w:p>
      <w:pPr>
        <w:keepNext/>
        <w:pBdr>
          <w:bottom w:val="single" w:sz="6" w:space="6" w:color="1F3864"/>
        </w:pBdr>
        <w:spacing w:after="280"/>
      </w:pPr>
      <w:r>
        <w:rPr>
          <w:rFonts w:ascii="Times New Roman" w:hAnsi="Times New Roman" w:eastAsia="宋体" w:cs="Times New Roman"/>
          <w:i/>
          <w:color w:val="595959"/>
          <w:sz w:val="20"/>
        </w:rPr>
        <w:t>Curfews in the Criminal Justice System</w:t>
      </w:r>
    </w:p>
    <w:p>
      <w:pPr>
        <w:keepNext w:val="0"/>
        <w:spacing w:after="140" w:line="336" w:lineRule="auto"/>
        <w:jc w:val="both"/>
      </w:pPr>
      <w:r>
        <w:rPr>
          <w:rFonts w:ascii="Times New Roman" w:hAnsi="Times New Roman" w:eastAsia="宋体" w:cs="Times New Roman"/>
          <w:color w:val="222222"/>
          <w:sz w:val="19"/>
        </w:rPr>
        <w:t>英国刑事程序中的宵禁比美国更成体系，且有三个各自独立的制度。第一是保释条件。1976 年《保释法》第 3 条允许法院附加“其认为必要”的要求，以确保被告按时投案、保释期间不犯罪、不干扰证人；条文本身没有“宵禁”二字，但指定住址、夜间不得外出这类条件，正是依第 3 条第 (6) 款 (b)(c) 项施加的，并以第 (6ZAA) 至 (6ZAB) 款的电子监控要求监督——实务中即电子脚环。这是英国最常用的宵禁形式，却几乎不出现在“宵禁法”的讨论里。</w:t>
      </w:r>
    </w:p>
    <w:p>
      <w:pPr>
        <w:keepNext w:val="0"/>
        <w:spacing w:after="140" w:line="336" w:lineRule="auto"/>
        <w:jc w:val="both"/>
      </w:pPr>
      <w:r>
        <w:rPr>
          <w:rFonts w:ascii="Times New Roman" w:hAnsi="Times New Roman" w:eastAsia="宋体" w:cs="Times New Roman"/>
          <w:color w:val="222222"/>
          <w:sz w:val="19"/>
        </w:rPr>
        <w:t>第二是量刑中的宵禁要求。《2020 年量刑法》附表 9 第 5 部分规定：宵禁要求指罪犯必须在特定“宵禁期间”留在特定场所，任何一日不少于两小时、不超过十六小时（2022 年 6 月 28 日以后定罪的为二十小时），任何七日不超过一百一十二小时；法院还须附加电子合规监控，除非因须经同意之人不同意、区域内无可用安排，或认为在具体案件中不适当。</w:t>
      </w:r>
    </w:p>
    <w:p>
      <w:pPr>
        <w:keepNext w:val="0"/>
        <w:spacing w:after="140" w:line="336" w:lineRule="auto"/>
        <w:jc w:val="both"/>
      </w:pPr>
      <w:r>
        <w:rPr>
          <w:rFonts w:ascii="Times New Roman" w:hAnsi="Times New Roman" w:eastAsia="宋体" w:cs="Times New Roman"/>
          <w:color w:val="222222"/>
          <w:sz w:val="19"/>
        </w:rPr>
        <w:t>第三是家庭拘留宵禁。2003 年《刑事司法法》第 246 条授权国务大臣在刑期届满前将囚犯以许可方式释放，条件是接受电子监控并在指定时段留在指定地址。该条规定的是“必要羁押期届满前 365 日期间内”这一幅度，具体时段与条件由依该条制定的命令确定；这一幅度原为 135 天，2025 年 6 月起改为 365 天。违反条件可被召回监狱。</w:t>
      </w:r>
    </w:p>
    <w:p>
      <w:pPr>
        <w:keepNext w:val="0"/>
        <w:spacing w:after="140" w:line="336" w:lineRule="auto"/>
        <w:jc w:val="both"/>
      </w:pPr>
      <w:r>
        <w:rPr>
          <w:rFonts w:ascii="Times New Roman" w:hAnsi="Times New Roman" w:eastAsia="宋体" w:cs="Times New Roman"/>
          <w:color w:val="222222"/>
          <w:sz w:val="19"/>
        </w:rPr>
        <w:t>三者的共同点是把宵禁当作风险管理工具：它不声称减少犯罪，只声称降低特定人在特定时段的再犯机会。争点因此不是合宪性，而是比例原则与执行成本——电子监控的费用、监控失败的责任、以及对家庭与就业的影响。</w:t>
      </w:r>
    </w:p>
    <w:p>
      <w:pPr>
        <w:keepNext/>
        <w:spacing w:before="400" w:after="40"/>
      </w:pPr>
      <w:r>
        <w:rPr>
          <w:rFonts w:ascii="黑体" w:hAnsi="黑体" w:eastAsia="黑体" w:cs="黑体"/>
          <w:b/>
          <w:color w:val="1F3864"/>
          <w:sz w:val="26"/>
        </w:rPr>
        <w:t>《保释法》第 3 条（保释条件）</w:t>
      </w:r>
    </w:p>
    <w:p>
      <w:pPr>
        <w:keepNext/>
        <w:spacing w:after="60"/>
      </w:pPr>
      <w:r>
        <w:rPr>
          <w:rFonts w:ascii="Times New Roman" w:hAnsi="Times New Roman" w:eastAsia="宋体" w:cs="Times New Roman"/>
          <w:color w:val="595959"/>
          <w:sz w:val="18"/>
        </w:rPr>
        <w:t>Bail Act 1976, s. 3</w:t>
      </w:r>
    </w:p>
    <w:p>
      <w:pPr>
        <w:keepNext/>
        <w:spacing w:after="160"/>
      </w:pPr>
      <w:r>
        <w:rPr>
          <w:rFonts w:ascii="Times New Roman" w:hAnsi="Times New Roman" w:eastAsia="宋体" w:cs="Times New Roman"/>
          <w:color w:val="808080"/>
          <w:sz w:val="16"/>
        </w:rPr>
        <w:t>1976 年 11 月 15 日 · 经多次修订 · 英格兰与威尔士</w:t>
      </w:r>
    </w:p>
    <w:p>
      <w:pPr>
        <w:keepNext w:val="0"/>
        <w:spacing w:after="120" w:line="336" w:lineRule="auto"/>
        <w:jc w:val="both"/>
      </w:pPr>
      <w:r>
        <w:rPr>
          <w:rFonts w:ascii="Times New Roman" w:hAnsi="Times New Roman" w:eastAsia="宋体" w:cs="Times New Roman"/>
          <w:color w:val="222222"/>
          <w:sz w:val="19"/>
        </w:rPr>
        <w:t>该条允许法院在准予保释时附加其认为必要的要求，以确保被告按时投案、不再犯罪或不妨碍证人；条文没有“宵禁”字样，指定住址与夜间限制即依第 (6) 款施加，并由电子监控条款监督。</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3 General provisions.</w:t>
      </w:r>
      <w:r>
        <w:br/>
      </w:r>
      <w:r>
        <w:rPr>
          <w:rFonts w:ascii="Times New Roman" w:hAnsi="Times New Roman" w:eastAsia="宋体" w:cs="Times New Roman"/>
          <w:color w:val="222222"/>
          <w:sz w:val="19"/>
        </w:rPr>
        <w:t>(1) A person granted bail in criminal proceedings shall be under a duty to surrender to custody, and that duty is enforceable in accordance with section 6 of this Act.</w:t>
      </w:r>
      <w:r>
        <w:br/>
      </w:r>
      <w:r>
        <w:rPr>
          <w:rFonts w:ascii="Times New Roman" w:hAnsi="Times New Roman" w:eastAsia="宋体" w:cs="Times New Roman"/>
          <w:color w:val="222222"/>
          <w:sz w:val="19"/>
        </w:rPr>
        <w:t>[...]</w:t>
      </w:r>
      <w:r>
        <w:br/>
      </w:r>
      <w:r>
        <w:rPr>
          <w:rFonts w:ascii="Times New Roman" w:hAnsi="Times New Roman" w:eastAsia="宋体" w:cs="Times New Roman"/>
          <w:color w:val="222222"/>
          <w:sz w:val="19"/>
        </w:rPr>
        <w:t>(6) He may be required [...] to comply, before release on bail or later, with such requirements as appear to the court to be necessary [...]:</w:t>
      </w:r>
      <w:r>
        <w:br/>
      </w:r>
      <w:r>
        <w:rPr>
          <w:rFonts w:ascii="Times New Roman" w:hAnsi="Times New Roman" w:eastAsia="宋体" w:cs="Times New Roman"/>
          <w:color w:val="222222"/>
          <w:sz w:val="19"/>
        </w:rPr>
        <w:t>(a) to secure that he surrenders to custody,</w:t>
      </w:r>
      <w:r>
        <w:br/>
      </w:r>
      <w:r>
        <w:rPr>
          <w:rFonts w:ascii="Times New Roman" w:hAnsi="Times New Roman" w:eastAsia="宋体" w:cs="Times New Roman"/>
          <w:color w:val="222222"/>
          <w:sz w:val="19"/>
        </w:rPr>
        <w:t>(b) to secure that he does not commit an offence while on bail,</w:t>
      </w:r>
      <w:r>
        <w:br/>
      </w:r>
      <w:r>
        <w:rPr>
          <w:rFonts w:ascii="Times New Roman" w:hAnsi="Times New Roman" w:eastAsia="宋体" w:cs="Times New Roman"/>
          <w:color w:val="222222"/>
          <w:sz w:val="19"/>
        </w:rPr>
        <w:t>(c) to secure that he does not interfere with witnesses or otherwise obstruct the course of justice whether in relation to himself or any other person,</w:t>
      </w:r>
      <w:r>
        <w:br/>
      </w:r>
      <w:r>
        <w:rPr>
          <w:rFonts w:ascii="Times New Roman" w:hAnsi="Times New Roman" w:eastAsia="宋体" w:cs="Times New Roman"/>
          <w:color w:val="222222"/>
          <w:sz w:val="19"/>
        </w:rPr>
        <w:t>(ca) for his own protection or, if he is a child or young person, for his own welfare or in his own interests,</w:t>
      </w:r>
      <w:r>
        <w:br/>
      </w:r>
      <w:r>
        <w:rPr>
          <w:rFonts w:ascii="Times New Roman" w:hAnsi="Times New Roman" w:eastAsia="宋体" w:cs="Times New Roman"/>
          <w:color w:val="222222"/>
          <w:sz w:val="19"/>
        </w:rPr>
        <w:t>(d) to secure that he makes himself available for the purpose of enabling inquiries or a report to be made to assist the court in dealing with him for the offence.</w:t>
      </w:r>
      <w:r>
        <w:br/>
      </w:r>
      <w:r>
        <w:rPr>
          <w:rFonts w:ascii="Times New Roman" w:hAnsi="Times New Roman" w:eastAsia="宋体" w:cs="Times New Roman"/>
          <w:color w:val="222222"/>
          <w:sz w:val="19"/>
        </w:rPr>
        <w:t>(e) to secure that before the time appointed for him to surrender to custody, he attends an interview with a person who, for the purposes of the Legal Services Act 2007, is an authorised person in relation to an activity which constitutes the exercise of a right of audience or the conduct of litigation (within the meaning of that Act);</w:t>
      </w:r>
      <w:r>
        <w:br/>
      </w:r>
      <w:r>
        <w:rPr>
          <w:rFonts w:ascii="Times New Roman" w:hAnsi="Times New Roman" w:eastAsia="宋体" w:cs="Times New Roman"/>
          <w:color w:val="222222"/>
          <w:sz w:val="19"/>
        </w:rPr>
        <w:t>and, in any Act, “the normal powers to impose conditions of bail” means the powers to impose conditions under paragraph (a), (b), (c) or (ca) above.</w:t>
      </w:r>
      <w:r>
        <w:br/>
      </w:r>
      <w:r>
        <w:rPr>
          <w:rFonts w:ascii="Times New Roman" w:hAnsi="Times New Roman" w:eastAsia="宋体" w:cs="Times New Roman"/>
          <w:color w:val="222222"/>
          <w:sz w:val="19"/>
        </w:rPr>
        <w:t>(6ZAA) The requirements which may be imposed under subsection (6) include electronic monitoring requirements.</w:t>
      </w:r>
      <w:r>
        <w:br/>
      </w:r>
      <w:r>
        <w:rPr>
          <w:rFonts w:ascii="Times New Roman" w:hAnsi="Times New Roman" w:eastAsia="宋体" w:cs="Times New Roman"/>
          <w:color w:val="222222"/>
          <w:sz w:val="19"/>
        </w:rPr>
        <w:t>The imposition of electronic monitoring requirements is subject to section 3AA (in the case of a child or young person granted bail in criminal proceedings of the kind mentioned in section 1(1)(a) or (b)), section 3AAA (in the case of a child or young person granted bail in connection with extradition proceedings), section 3AAB (in the case of certain adults granted bail where there is a real prospect of a suspended sentence), section 3AB (in the case of other persons) and section 3AC (in all cases).</w:t>
      </w:r>
      <w:r>
        <w:br/>
      </w:r>
      <w:r>
        <w:rPr>
          <w:rFonts w:ascii="Times New Roman" w:hAnsi="Times New Roman" w:eastAsia="宋体" w:cs="Times New Roman"/>
          <w:color w:val="222222"/>
          <w:sz w:val="19"/>
        </w:rPr>
        <w:t>(6ZAB) In this section and sections 3AA to 3AC “electronic monitoring requirements” means requirements imposed for the purpose of securing the electronic monitoring of a person's compliance with any other requirement imposed on him as a condition of bail.</w:t>
      </w:r>
      <w:r>
        <w:br/>
      </w:r>
      <w:r>
        <w:rPr>
          <w:rFonts w:ascii="Times New Roman" w:hAnsi="Times New Roman" w:eastAsia="宋体" w:cs="Times New Roman"/>
          <w:color w:val="222222"/>
          <w:sz w:val="19"/>
        </w:rPr>
        <w:t>[...]</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3 一般规定。</w:t>
      </w:r>
      <w:r>
        <w:br/>
      </w:r>
      <w:r>
        <w:rPr>
          <w:rFonts w:ascii="Times New Roman" w:hAnsi="Times New Roman" w:eastAsia="宋体" w:cs="Times New Roman"/>
          <w:color w:val="595959"/>
          <w:sz w:val="19"/>
        </w:rPr>
        <w:t>(1) 获准刑事诉讼保释的人负有向羁押处所投案的义务，该项义务依本法第6条可予强制执行。</w:t>
      </w:r>
      <w:r>
        <w:br/>
      </w:r>
      <w:r>
        <w:rPr>
          <w:rFonts w:ascii="Times New Roman" w:hAnsi="Times New Roman" w:eastAsia="宋体" w:cs="Times New Roman"/>
          <w:color w:val="595959"/>
          <w:sz w:val="19"/>
        </w:rPr>
        <w:t>[...]</w:t>
      </w:r>
      <w:r>
        <w:br/>
      </w:r>
      <w:r>
        <w:rPr>
          <w:rFonts w:ascii="Times New Roman" w:hAnsi="Times New Roman" w:eastAsia="宋体" w:cs="Times New Roman"/>
          <w:color w:val="595959"/>
          <w:sz w:val="19"/>
        </w:rPr>
        <w:t>(6) 可要求他[...]在保释释放之前或之后遵守法院认为必要的下列要求[...]：</w:t>
      </w:r>
      <w:r>
        <w:br/>
      </w:r>
      <w:r>
        <w:rPr>
          <w:rFonts w:ascii="Times New Roman" w:hAnsi="Times New Roman" w:eastAsia="宋体" w:cs="Times New Roman"/>
          <w:color w:val="595959"/>
          <w:sz w:val="19"/>
        </w:rPr>
        <w:t>(a) 以确保其向羁押处所投案；</w:t>
      </w:r>
      <w:r>
        <w:br/>
      </w:r>
      <w:r>
        <w:rPr>
          <w:rFonts w:ascii="Times New Roman" w:hAnsi="Times New Roman" w:eastAsia="宋体" w:cs="Times New Roman"/>
          <w:color w:val="595959"/>
          <w:sz w:val="19"/>
        </w:rPr>
        <w:t>(b) 以确保其在保释期间不实施犯罪；</w:t>
      </w:r>
      <w:r>
        <w:br/>
      </w:r>
      <w:r>
        <w:rPr>
          <w:rFonts w:ascii="Times New Roman" w:hAnsi="Times New Roman" w:eastAsia="宋体" w:cs="Times New Roman"/>
          <w:color w:val="595959"/>
          <w:sz w:val="19"/>
        </w:rPr>
        <w:t>(c) 以确保其不干扰证人，或以其他方式妨碍司法程序，无论涉及本人或任何其他人；</w:t>
      </w:r>
      <w:r>
        <w:br/>
      </w:r>
      <w:r>
        <w:rPr>
          <w:rFonts w:ascii="Times New Roman" w:hAnsi="Times New Roman" w:eastAsia="宋体" w:cs="Times New Roman"/>
          <w:color w:val="595959"/>
          <w:sz w:val="19"/>
        </w:rPr>
        <w:t>(ca) 为其自身保护，或在其为儿童或青少年时，为其自身福利或利益；</w:t>
      </w:r>
      <w:r>
        <w:br/>
      </w:r>
      <w:r>
        <w:rPr>
          <w:rFonts w:ascii="Times New Roman" w:hAnsi="Times New Roman" w:eastAsia="宋体" w:cs="Times New Roman"/>
          <w:color w:val="595959"/>
          <w:sz w:val="19"/>
        </w:rPr>
        <w:t>(d) 以确保其到场，使为协助法院处理其犯罪而进行的调查或报告得以进行；</w:t>
      </w:r>
      <w:r>
        <w:br/>
      </w:r>
      <w:r>
        <w:rPr>
          <w:rFonts w:ascii="Times New Roman" w:hAnsi="Times New Roman" w:eastAsia="宋体" w:cs="Times New Roman"/>
          <w:color w:val="595959"/>
          <w:sz w:val="19"/>
        </w:rPr>
        <w:t>(e) 以确保其在指定投案时间之前，接受一名就2007年《法律服务法》而言属获授权从事出庭发言权或诉讼事务（该法所指含义）活动的人的会见；</w:t>
      </w:r>
      <w:r>
        <w:br/>
      </w:r>
      <w:r>
        <w:rPr>
          <w:rFonts w:ascii="Times New Roman" w:hAnsi="Times New Roman" w:eastAsia="宋体" w:cs="Times New Roman"/>
          <w:color w:val="595959"/>
          <w:sz w:val="19"/>
        </w:rPr>
        <w:t>并且，在任何法令中，"施加保释条件的一般权力"指依上述(a)、(b)、(c)或(ca)项施加条件的权力。</w:t>
      </w:r>
      <w:r>
        <w:br/>
      </w:r>
      <w:r>
        <w:rPr>
          <w:rFonts w:ascii="Times New Roman" w:hAnsi="Times New Roman" w:eastAsia="宋体" w:cs="Times New Roman"/>
          <w:color w:val="595959"/>
          <w:sz w:val="19"/>
        </w:rPr>
        <w:t>(6ZAA) 可依第(6)款施加的要求包括电子监控要求。</w:t>
      </w:r>
      <w:r>
        <w:br/>
      </w:r>
      <w:r>
        <w:rPr>
          <w:rFonts w:ascii="Times New Roman" w:hAnsi="Times New Roman" w:eastAsia="宋体" w:cs="Times New Roman"/>
          <w:color w:val="595959"/>
          <w:sz w:val="19"/>
        </w:rPr>
        <w:t>电子监控要求的施加须受第3AA条（就属第1(1)(a)或(b)条所述类型的刑事诉讼中获准保释的儿童或青少年而言）、第3AAA条（就与引渡程序有关而获准保释的儿童或青少年而言）、第3AAB条（就确有判处缓刑可能时获准保释的特定成年人而言）、第3AB条（就其他人而言）及第3AC条（在所有情形下）约束。</w:t>
      </w:r>
      <w:r>
        <w:br/>
      </w:r>
      <w:r>
        <w:rPr>
          <w:rFonts w:ascii="Times New Roman" w:hAnsi="Times New Roman" w:eastAsia="宋体" w:cs="Times New Roman"/>
          <w:color w:val="595959"/>
          <w:sz w:val="19"/>
        </w:rPr>
        <w:t>(6ZAB) 在本条及第3AA条至第3AC条中，"电子监控要求"指为确保以电子方式监控某人对其作为保释条件所受任何其他要求的遵守情况而施加的要求。</w:t>
      </w:r>
      <w:r>
        <w:br/>
      </w:r>
      <w:r>
        <w:rPr>
          <w:rFonts w:ascii="Times New Roman" w:hAnsi="Times New Roman" w:eastAsia="宋体" w:cs="Times New Roman"/>
          <w:color w:val="595959"/>
          <w:sz w:val="19"/>
        </w:rPr>
        <w:t>[...]</w:t>
      </w:r>
      <w:r>
        <w:br/>
      </w:r>
      <w:r>
        <w:rPr>
          <w:rFonts w:ascii="Times New Roman" w:hAnsi="Times New Roman" w:eastAsia="宋体" w:cs="Times New Roman"/>
          <w:color w:val="808080"/>
          <w:sz w:val="15"/>
        </w:rPr>
        <w:t>来源：https://www.legislation.gov.uk/ukpga/1976/63/section/3</w:t>
      </w:r>
    </w:p>
    <w:p>
      <w:pPr>
        <w:keepNext/>
        <w:spacing w:before="400" w:after="40"/>
      </w:pPr>
      <w:r>
        <w:rPr>
          <w:rFonts w:ascii="黑体" w:hAnsi="黑体" w:eastAsia="黑体" w:cs="黑体"/>
          <w:b/>
          <w:color w:val="1F3864"/>
          <w:sz w:val="26"/>
        </w:rPr>
        <w:t>《量刑法》附表 9 第 5 部分（宵禁要求）</w:t>
      </w:r>
    </w:p>
    <w:p>
      <w:pPr>
        <w:keepNext/>
        <w:spacing w:after="60"/>
      </w:pPr>
      <w:r>
        <w:rPr>
          <w:rFonts w:ascii="Times New Roman" w:hAnsi="Times New Roman" w:eastAsia="宋体" w:cs="Times New Roman"/>
          <w:color w:val="595959"/>
          <w:sz w:val="18"/>
        </w:rPr>
        <w:t>Sentencing Act 2020, Sch. 9, Part 5</w:t>
      </w:r>
    </w:p>
    <w:p>
      <w:pPr>
        <w:keepNext/>
        <w:spacing w:after="160"/>
      </w:pPr>
      <w:r>
        <w:rPr>
          <w:rFonts w:ascii="Times New Roman" w:hAnsi="Times New Roman" w:eastAsia="宋体" w:cs="Times New Roman"/>
          <w:color w:val="808080"/>
          <w:sz w:val="16"/>
        </w:rPr>
        <w:t>2020 年 12 月 1 日 · 每日上限经 2022 年法提高至二十小时</w:t>
      </w:r>
    </w:p>
    <w:p>
      <w:pPr>
        <w:keepNext w:val="0"/>
        <w:spacing w:after="120" w:line="336" w:lineRule="auto"/>
        <w:jc w:val="both"/>
      </w:pPr>
      <w:r>
        <w:rPr>
          <w:rFonts w:ascii="Times New Roman" w:hAnsi="Times New Roman" w:eastAsia="宋体" w:cs="Times New Roman"/>
          <w:color w:val="222222"/>
          <w:sz w:val="19"/>
        </w:rPr>
        <w:t>社区命令与缓刑令中的“宵禁要求”：罪犯须在特定时段留在特定场所，每日不少于两小时、不超过十六小时（2022 年 6 月 28 日以后定罪者为二十小时），任何七日不超过一百一十二小时，并须附加电子监控。</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SCHEDULE 9 Community orders and suspended sentence orders: requirements</w:t>
      </w:r>
      <w:r>
        <w:br/>
      </w:r>
      <w:r>
        <w:rPr>
          <w:rFonts w:ascii="Times New Roman" w:hAnsi="Times New Roman" w:eastAsia="宋体" w:cs="Times New Roman"/>
          <w:color w:val="222222"/>
          <w:sz w:val="19"/>
        </w:rPr>
        <w:t>PART 5 Curfew requirement</w:t>
      </w:r>
      <w:r>
        <w:br/>
      </w:r>
      <w:r>
        <w:rPr>
          <w:rFonts w:ascii="Times New Roman" w:hAnsi="Times New Roman" w:eastAsia="宋体" w:cs="Times New Roman"/>
          <w:color w:val="222222"/>
          <w:sz w:val="19"/>
        </w:rPr>
        <w:t>Requirement</w:t>
      </w:r>
      <w:r>
        <w:br/>
      </w:r>
      <w:r>
        <w:rPr>
          <w:rFonts w:ascii="Times New Roman" w:hAnsi="Times New Roman" w:eastAsia="宋体" w:cs="Times New Roman"/>
          <w:color w:val="222222"/>
          <w:sz w:val="19"/>
        </w:rPr>
        <w:t>9 (1) In this Code “curfew requirement”, in relation to a relevant order, means a requirement that the offender must remain, for particular periods (“curfew periods”), at a particular place.</w:t>
      </w:r>
      <w:r>
        <w:br/>
      </w:r>
      <w:r>
        <w:rPr>
          <w:rFonts w:ascii="Times New Roman" w:hAnsi="Times New Roman" w:eastAsia="宋体" w:cs="Times New Roman"/>
          <w:color w:val="222222"/>
          <w:sz w:val="19"/>
        </w:rPr>
        <w:t>(2) A relevant order which imposes a curfew requirement must specify—</w:t>
      </w:r>
      <w:r>
        <w:br/>
      </w:r>
      <w:r>
        <w:rPr>
          <w:rFonts w:ascii="Times New Roman" w:hAnsi="Times New Roman" w:eastAsia="宋体" w:cs="Times New Roman"/>
          <w:color w:val="222222"/>
          <w:sz w:val="19"/>
        </w:rPr>
        <w:t>(a) the curfew periods, and</w:t>
      </w:r>
      <w:r>
        <w:br/>
      </w:r>
      <w:r>
        <w:rPr>
          <w:rFonts w:ascii="Times New Roman" w:hAnsi="Times New Roman" w:eastAsia="宋体" w:cs="Times New Roman"/>
          <w:color w:val="222222"/>
          <w:sz w:val="19"/>
        </w:rPr>
        <w:t>(b) the place at which the offender must remain for each curfew period.</w:t>
      </w:r>
      <w:r>
        <w:br/>
      </w:r>
      <w:r>
        <w:rPr>
          <w:rFonts w:ascii="Times New Roman" w:hAnsi="Times New Roman" w:eastAsia="宋体" w:cs="Times New Roman"/>
          <w:color w:val="222222"/>
          <w:sz w:val="19"/>
        </w:rPr>
        <w:t>(3) Different places or different curfew periods may be specified for different days.</w:t>
      </w:r>
      <w:r>
        <w:br/>
      </w:r>
      <w:r>
        <w:rPr>
          <w:rFonts w:ascii="Times New Roman" w:hAnsi="Times New Roman" w:eastAsia="宋体" w:cs="Times New Roman"/>
          <w:color w:val="222222"/>
          <w:sz w:val="19"/>
        </w:rPr>
        <w:t>(4) The curfew periods specified must amount to—</w:t>
      </w:r>
      <w:r>
        <w:br/>
      </w:r>
      <w:r>
        <w:rPr>
          <w:rFonts w:ascii="Times New Roman" w:hAnsi="Times New Roman" w:eastAsia="宋体" w:cs="Times New Roman"/>
          <w:color w:val="222222"/>
          <w:sz w:val="19"/>
        </w:rPr>
        <w:t>(a) not less than 2 hours in any day, [...]</w:t>
      </w:r>
      <w:r>
        <w:br/>
      </w:r>
      <w:r>
        <w:rPr>
          <w:rFonts w:ascii="Times New Roman" w:hAnsi="Times New Roman" w:eastAsia="宋体" w:cs="Times New Roman"/>
          <w:color w:val="222222"/>
          <w:sz w:val="19"/>
        </w:rPr>
        <w:t>(b) not more than the relevant number of hours in any day, and</w:t>
      </w:r>
      <w:r>
        <w:br/>
      </w:r>
      <w:r>
        <w:rPr>
          <w:rFonts w:ascii="Times New Roman" w:hAnsi="Times New Roman" w:eastAsia="宋体" w:cs="Times New Roman"/>
          <w:color w:val="222222"/>
          <w:sz w:val="19"/>
        </w:rPr>
        <w:t>(c) not more than 112 hours in any period of 7 days beginning with the day of the week on which the requirement first takes effect.</w:t>
      </w:r>
      <w:r>
        <w:br/>
      </w:r>
      <w:r>
        <w:rPr>
          <w:rFonts w:ascii="Times New Roman" w:hAnsi="Times New Roman" w:eastAsia="宋体" w:cs="Times New Roman"/>
          <w:color w:val="222222"/>
          <w:sz w:val="19"/>
        </w:rPr>
        <w:t>(4A) In sub-paragraph (4) “the relevant number of hours” means—</w:t>
      </w:r>
      <w:r>
        <w:br/>
      </w:r>
      <w:r>
        <w:rPr>
          <w:rFonts w:ascii="Times New Roman" w:hAnsi="Times New Roman" w:eastAsia="宋体" w:cs="Times New Roman"/>
          <w:color w:val="222222"/>
          <w:sz w:val="19"/>
        </w:rPr>
        <w:t>(a) in relation to a relevant order in respect of an offence of which the offender was convicted before the day on which section 150 of the Police, Crime, Sentencing and Courts Act 2022 came into force, 16 hours, and</w:t>
      </w:r>
      <w:r>
        <w:br/>
      </w:r>
      <w:r>
        <w:rPr>
          <w:rFonts w:ascii="Times New Roman" w:hAnsi="Times New Roman" w:eastAsia="宋体" w:cs="Times New Roman"/>
          <w:color w:val="222222"/>
          <w:sz w:val="19"/>
        </w:rPr>
        <w:t>(b) in relation to a relevant order in respect of an offence of which the offender was convicted on or after that day, 20 hours.</w:t>
      </w:r>
      <w:r>
        <w:br/>
      </w:r>
      <w:r>
        <w:rPr>
          <w:rFonts w:ascii="Times New Roman" w:hAnsi="Times New Roman" w:eastAsia="宋体" w:cs="Times New Roman"/>
          <w:color w:val="222222"/>
          <w:sz w:val="19"/>
        </w:rPr>
        <w:t>(5) The specified curfew periods must fall within the relevant period beginning with the day on which the requirement first takes effect.</w:t>
      </w:r>
      <w:r>
        <w:br/>
      </w:r>
      <w:r>
        <w:rPr>
          <w:rFonts w:ascii="Times New Roman" w:hAnsi="Times New Roman" w:eastAsia="宋体" w:cs="Times New Roman"/>
          <w:color w:val="222222"/>
          <w:sz w:val="19"/>
        </w:rPr>
        <w:t>(6) In sub-paragraph (5) “the relevant period” means—</w:t>
      </w:r>
      <w:r>
        <w:br/>
      </w:r>
      <w:r>
        <w:rPr>
          <w:rFonts w:ascii="Times New Roman" w:hAnsi="Times New Roman" w:eastAsia="宋体" w:cs="Times New Roman"/>
          <w:color w:val="222222"/>
          <w:sz w:val="19"/>
        </w:rPr>
        <w:t>(a) in relation to a relevant order in respect of an offence of which the offender was convicted before the day on which section 150 of the Police, Crime, Sentencing and Courts Act 2022 came into force, the period of 12 months, and</w:t>
      </w:r>
      <w:r>
        <w:br/>
      </w:r>
      <w:r>
        <w:rPr>
          <w:rFonts w:ascii="Times New Roman" w:hAnsi="Times New Roman" w:eastAsia="宋体" w:cs="Times New Roman"/>
          <w:color w:val="222222"/>
          <w:sz w:val="19"/>
        </w:rPr>
        <w:t>(b) in relation to a relevant order in respect of an offence of which the offender was convicted on or after that day, the period of 2 years.</w:t>
      </w:r>
      <w:r>
        <w:br/>
      </w:r>
      <w:r>
        <w:rPr>
          <w:rFonts w:ascii="Times New Roman" w:hAnsi="Times New Roman" w:eastAsia="宋体" w:cs="Times New Roman"/>
          <w:color w:val="222222"/>
          <w:sz w:val="19"/>
        </w:rPr>
        <w:t>Requirements where court imposes curfew requirement</w:t>
      </w:r>
      <w:r>
        <w:br/>
      </w:r>
      <w:r>
        <w:rPr>
          <w:rFonts w:ascii="Times New Roman" w:hAnsi="Times New Roman" w:eastAsia="宋体" w:cs="Times New Roman"/>
          <w:color w:val="222222"/>
          <w:sz w:val="19"/>
        </w:rPr>
        <w:t>10 (1) Before making a relevant order imposing a curfew requirement, the court must obtain and consider information about each place proposed to be specified in the order.</w:t>
      </w:r>
      <w:r>
        <w:br/>
      </w:r>
      <w:r>
        <w:rPr>
          <w:rFonts w:ascii="Times New Roman" w:hAnsi="Times New Roman" w:eastAsia="宋体" w:cs="Times New Roman"/>
          <w:color w:val="222222"/>
          <w:sz w:val="19"/>
        </w:rPr>
        <w:t>(2) That information must include information as to the attitude of persons likely to be affected by the offender's enforced presence there.</w:t>
      </w:r>
      <w:r>
        <w:br/>
      </w:r>
      <w:r>
        <w:rPr>
          <w:rFonts w:ascii="Times New Roman" w:hAnsi="Times New Roman" w:eastAsia="宋体" w:cs="Times New Roman"/>
          <w:color w:val="222222"/>
          <w:sz w:val="19"/>
        </w:rPr>
        <w:t>(3) Where the court makes a relevant order imposing a curfew requirement it must also impose an electronic compliance monitoring requirement (see paragraph 29) for securing compliance with it, unless—</w:t>
      </w:r>
      <w:r>
        <w:br/>
      </w:r>
      <w:r>
        <w:rPr>
          <w:rFonts w:ascii="Times New Roman" w:hAnsi="Times New Roman" w:eastAsia="宋体" w:cs="Times New Roman"/>
          <w:color w:val="222222"/>
          <w:sz w:val="19"/>
        </w:rPr>
        <w:t>(a) it is prevented from doing so by—</w:t>
      </w:r>
      <w:r>
        <w:br/>
      </w:r>
      <w:r>
        <w:rPr>
          <w:rFonts w:ascii="Times New Roman" w:hAnsi="Times New Roman" w:eastAsia="宋体" w:cs="Times New Roman"/>
          <w:color w:val="222222"/>
          <w:sz w:val="19"/>
        </w:rPr>
        <w:t>(i) paragraph 33 (consent of person whose co-operation is required), or</w:t>
      </w:r>
      <w:r>
        <w:br/>
      </w:r>
      <w:r>
        <w:rPr>
          <w:rFonts w:ascii="Times New Roman" w:hAnsi="Times New Roman" w:eastAsia="宋体" w:cs="Times New Roman"/>
          <w:color w:val="222222"/>
          <w:sz w:val="19"/>
        </w:rPr>
        <w:t>(ii) paragraph 34(1) (arrangements in relevant area), or</w:t>
      </w:r>
      <w:r>
        <w:br/>
      </w:r>
      <w:r>
        <w:rPr>
          <w:rFonts w:ascii="Times New Roman" w:hAnsi="Times New Roman" w:eastAsia="宋体" w:cs="Times New Roman"/>
          <w:color w:val="222222"/>
          <w:sz w:val="19"/>
        </w:rPr>
        <w:t>(b) in the particular circumstances of the case, it considers it inappropriate to do so.</w:t>
      </w:r>
      <w:r>
        <w:br/>
      </w:r>
      <w:r>
        <w:rPr>
          <w:rFonts w:ascii="Times New Roman" w:hAnsi="Times New Roman" w:eastAsia="宋体" w:cs="Times New Roman"/>
          <w:color w:val="222222"/>
          <w:sz w:val="19"/>
        </w:rPr>
        <w:t>Power of responsible officer to vary curfew requirement</w:t>
      </w:r>
      <w:r>
        <w:br/>
      </w:r>
      <w:r>
        <w:rPr>
          <w:rFonts w:ascii="Times New Roman" w:hAnsi="Times New Roman" w:eastAsia="宋体" w:cs="Times New Roman"/>
          <w:color w:val="222222"/>
          <w:sz w:val="19"/>
        </w:rPr>
        <w:t>10A (1) This paragraph applies where—</w:t>
      </w:r>
      <w:r>
        <w:br/>
      </w:r>
      <w:r>
        <w:rPr>
          <w:rFonts w:ascii="Times New Roman" w:hAnsi="Times New Roman" w:eastAsia="宋体" w:cs="Times New Roman"/>
          <w:color w:val="222222"/>
          <w:sz w:val="19"/>
        </w:rPr>
        <w:t>(a) a relevant order is in force,</w:t>
      </w:r>
      <w:r>
        <w:br/>
      </w:r>
      <w:r>
        <w:rPr>
          <w:rFonts w:ascii="Times New Roman" w:hAnsi="Times New Roman" w:eastAsia="宋体" w:cs="Times New Roman"/>
          <w:color w:val="222222"/>
          <w:sz w:val="19"/>
        </w:rPr>
        <w:t>(b) the order is in respect of an offence of which the offender was convicted on or after the day on which section 151 of the Police, Crime, Sentencing and Courts Act 2022 came into force,</w:t>
      </w:r>
      <w:r>
        <w:br/>
      </w:r>
      <w:r>
        <w:rPr>
          <w:rFonts w:ascii="Times New Roman" w:hAnsi="Times New Roman" w:eastAsia="宋体" w:cs="Times New Roman"/>
          <w:color w:val="222222"/>
          <w:sz w:val="19"/>
        </w:rPr>
        <w:t>(c) the order includes a curfew requirement imposed under paragraph 9, and</w:t>
      </w:r>
      <w:r>
        <w:br/>
      </w:r>
      <w:r>
        <w:rPr>
          <w:rFonts w:ascii="Times New Roman" w:hAnsi="Times New Roman" w:eastAsia="宋体" w:cs="Times New Roman"/>
          <w:color w:val="222222"/>
          <w:sz w:val="19"/>
        </w:rPr>
        <w:t>(d) the responsible officer considers that the variation condition is met.</w:t>
      </w:r>
      <w:r>
        <w:br/>
      </w:r>
      <w:r>
        <w:rPr>
          <w:rFonts w:ascii="Times New Roman" w:hAnsi="Times New Roman" w:eastAsia="宋体" w:cs="Times New Roman"/>
          <w:color w:val="222222"/>
          <w:sz w:val="19"/>
        </w:rPr>
        <w:t>(2) The variation condition is met if, having regard to a change in the offender's circumstances since the relevant order was made, it is appropriate to—</w:t>
      </w:r>
      <w:r>
        <w:br/>
      </w:r>
      <w:r>
        <w:rPr>
          <w:rFonts w:ascii="Times New Roman" w:hAnsi="Times New Roman" w:eastAsia="宋体" w:cs="Times New Roman"/>
          <w:color w:val="222222"/>
          <w:sz w:val="19"/>
        </w:rPr>
        <w:t>(a) vary the start time of any of the curfew periods;</w:t>
      </w:r>
      <w:r>
        <w:br/>
      </w:r>
      <w:r>
        <w:rPr>
          <w:rFonts w:ascii="Times New Roman" w:hAnsi="Times New Roman" w:eastAsia="宋体" w:cs="Times New Roman"/>
          <w:color w:val="222222"/>
          <w:sz w:val="19"/>
        </w:rPr>
        <w:t>(b) vary the relevant place in relation to any of those periods.</w:t>
      </w:r>
      <w:r>
        <w:br/>
      </w:r>
      <w:r>
        <w:rPr>
          <w:rFonts w:ascii="Times New Roman" w:hAnsi="Times New Roman" w:eastAsia="宋体" w:cs="Times New Roman"/>
          <w:color w:val="222222"/>
          <w:sz w:val="19"/>
        </w:rPr>
        <w:t>(3) The responsible officer may, with the consent of the offender, give the offender notice (a “variation notice”) specifying—</w:t>
      </w:r>
      <w:r>
        <w:br/>
      </w:r>
      <w:r>
        <w:rPr>
          <w:rFonts w:ascii="Times New Roman" w:hAnsi="Times New Roman" w:eastAsia="宋体" w:cs="Times New Roman"/>
          <w:color w:val="222222"/>
          <w:sz w:val="19"/>
        </w:rPr>
        <w:t>(a) the new start time of such of the curfew periods as are specified in the notice;</w:t>
      </w:r>
      <w:r>
        <w:br/>
      </w:r>
      <w:r>
        <w:rPr>
          <w:rFonts w:ascii="Times New Roman" w:hAnsi="Times New Roman" w:eastAsia="宋体" w:cs="Times New Roman"/>
          <w:color w:val="222222"/>
          <w:sz w:val="19"/>
        </w:rPr>
        <w:t>(b) the new relevant place for such of the curfew periods as are so specified.</w:t>
      </w:r>
      <w:r>
        <w:br/>
      </w:r>
      <w:r>
        <w:rPr>
          <w:rFonts w:ascii="Times New Roman" w:hAnsi="Times New Roman" w:eastAsia="宋体" w:cs="Times New Roman"/>
          <w:color w:val="222222"/>
          <w:sz w:val="19"/>
        </w:rPr>
        <w:t>(4) The effect of a variation notice is to vary the relevant order as specified in the notice, with effect from the date so specified.</w:t>
      </w:r>
      <w:r>
        <w:br/>
      </w:r>
      <w:r>
        <w:rPr>
          <w:rFonts w:ascii="Times New Roman" w:hAnsi="Times New Roman" w:eastAsia="宋体" w:cs="Times New Roman"/>
          <w:color w:val="222222"/>
          <w:sz w:val="19"/>
        </w:rPr>
        <w:t>(5) A variation notice may specify different variations of the start time, or of the relevant place, for different days.</w:t>
      </w:r>
      <w:r>
        <w:br/>
      </w:r>
      <w:r>
        <w:rPr>
          <w:rFonts w:ascii="Times New Roman" w:hAnsi="Times New Roman" w:eastAsia="宋体" w:cs="Times New Roman"/>
          <w:color w:val="222222"/>
          <w:sz w:val="19"/>
        </w:rPr>
        <w:t>[...]</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附表9 社区命令与缓刑令：要求</w:t>
      </w:r>
      <w:r>
        <w:br/>
      </w:r>
      <w:r>
        <w:rPr>
          <w:rFonts w:ascii="Times New Roman" w:hAnsi="Times New Roman" w:eastAsia="宋体" w:cs="Times New Roman"/>
          <w:color w:val="595959"/>
          <w:sz w:val="19"/>
        </w:rPr>
        <w:t>第5部分 宵禁要求</w:t>
      </w:r>
      <w:r>
        <w:br/>
      </w:r>
      <w:r>
        <w:rPr>
          <w:rFonts w:ascii="Times New Roman" w:hAnsi="Times New Roman" w:eastAsia="宋体" w:cs="Times New Roman"/>
          <w:color w:val="595959"/>
          <w:sz w:val="19"/>
        </w:rPr>
        <w:t>要求</w:t>
      </w:r>
      <w:r>
        <w:br/>
      </w:r>
      <w:r>
        <w:rPr>
          <w:rFonts w:ascii="Times New Roman" w:hAnsi="Times New Roman" w:eastAsia="宋体" w:cs="Times New Roman"/>
          <w:color w:val="595959"/>
          <w:sz w:val="19"/>
        </w:rPr>
        <w:t>9 (1) 在本法典中，就相关命令而言，"宵禁要求"指要求罪犯必须在特定期间（"宵禁期间"）留在特定场所的要求。</w:t>
      </w:r>
      <w:r>
        <w:br/>
      </w:r>
      <w:r>
        <w:rPr>
          <w:rFonts w:ascii="Times New Roman" w:hAnsi="Times New Roman" w:eastAsia="宋体" w:cs="Times New Roman"/>
          <w:color w:val="595959"/>
          <w:sz w:val="19"/>
        </w:rPr>
        <w:t>(2) 规定宵禁要求的相关命令必须指明——</w:t>
      </w:r>
      <w:r>
        <w:br/>
      </w:r>
      <w:r>
        <w:rPr>
          <w:rFonts w:ascii="Times New Roman" w:hAnsi="Times New Roman" w:eastAsia="宋体" w:cs="Times New Roman"/>
          <w:color w:val="595959"/>
          <w:sz w:val="19"/>
        </w:rPr>
        <w:t>(a) 宵禁期间；以及</w:t>
      </w:r>
      <w:r>
        <w:br/>
      </w:r>
      <w:r>
        <w:rPr>
          <w:rFonts w:ascii="Times New Roman" w:hAnsi="Times New Roman" w:eastAsia="宋体" w:cs="Times New Roman"/>
          <w:color w:val="595959"/>
          <w:sz w:val="19"/>
        </w:rPr>
        <w:t>(b) 罪犯在每个宵禁期间必须留在的场所。</w:t>
      </w:r>
      <w:r>
        <w:br/>
      </w:r>
      <w:r>
        <w:rPr>
          <w:rFonts w:ascii="Times New Roman" w:hAnsi="Times New Roman" w:eastAsia="宋体" w:cs="Times New Roman"/>
          <w:color w:val="595959"/>
          <w:sz w:val="19"/>
        </w:rPr>
        <w:t>(3) 可对不同日期指明不同的场所或不同的宵禁期间。</w:t>
      </w:r>
      <w:r>
        <w:br/>
      </w:r>
      <w:r>
        <w:rPr>
          <w:rFonts w:ascii="Times New Roman" w:hAnsi="Times New Roman" w:eastAsia="宋体" w:cs="Times New Roman"/>
          <w:color w:val="595959"/>
          <w:sz w:val="19"/>
        </w:rPr>
        <w:t>(4) 所指明的宵禁期间必须合计为——</w:t>
      </w:r>
      <w:r>
        <w:br/>
      </w:r>
      <w:r>
        <w:rPr>
          <w:rFonts w:ascii="Times New Roman" w:hAnsi="Times New Roman" w:eastAsia="宋体" w:cs="Times New Roman"/>
          <w:color w:val="595959"/>
          <w:sz w:val="19"/>
        </w:rPr>
        <w:t>(a) 任何一日不少于2小时，[...]</w:t>
      </w:r>
      <w:r>
        <w:br/>
      </w:r>
      <w:r>
        <w:rPr>
          <w:rFonts w:ascii="Times New Roman" w:hAnsi="Times New Roman" w:eastAsia="宋体" w:cs="Times New Roman"/>
          <w:color w:val="595959"/>
          <w:sz w:val="19"/>
        </w:rPr>
        <w:t>(b) 任何一日不超过相关小时数，且</w:t>
      </w:r>
      <w:r>
        <w:br/>
      </w:r>
      <w:r>
        <w:rPr>
          <w:rFonts w:ascii="Times New Roman" w:hAnsi="Times New Roman" w:eastAsia="宋体" w:cs="Times New Roman"/>
          <w:color w:val="595959"/>
          <w:sz w:val="19"/>
        </w:rPr>
        <w:t>(c) 自该要求首次生效之日所在星期起算的任何7日期间内不超过112小时。</w:t>
      </w:r>
      <w:r>
        <w:br/>
      </w:r>
      <w:r>
        <w:rPr>
          <w:rFonts w:ascii="Times New Roman" w:hAnsi="Times New Roman" w:eastAsia="宋体" w:cs="Times New Roman"/>
          <w:color w:val="595959"/>
          <w:sz w:val="19"/>
        </w:rPr>
        <w:t>(4A) 第(4)款中，"相关小时数"指——</w:t>
      </w:r>
      <w:r>
        <w:br/>
      </w:r>
      <w:r>
        <w:rPr>
          <w:rFonts w:ascii="Times New Roman" w:hAnsi="Times New Roman" w:eastAsia="宋体" w:cs="Times New Roman"/>
          <w:color w:val="595959"/>
          <w:sz w:val="19"/>
        </w:rPr>
        <w:t>(a) 就罪犯定罪于2022年《警察、犯罪、量刑与法院法》第150条生效之日以前的犯罪的相关命令而言，16小时；以及</w:t>
      </w:r>
      <w:r>
        <w:br/>
      </w:r>
      <w:r>
        <w:rPr>
          <w:rFonts w:ascii="Times New Roman" w:hAnsi="Times New Roman" w:eastAsia="宋体" w:cs="Times New Roman"/>
          <w:color w:val="595959"/>
          <w:sz w:val="19"/>
        </w:rPr>
        <w:t>(b) 就罪犯定罪于该日或之后的相关命令而言，20小时。</w:t>
      </w:r>
      <w:r>
        <w:br/>
      </w:r>
      <w:r>
        <w:rPr>
          <w:rFonts w:ascii="Times New Roman" w:hAnsi="Times New Roman" w:eastAsia="宋体" w:cs="Times New Roman"/>
          <w:color w:val="595959"/>
          <w:sz w:val="19"/>
        </w:rPr>
        <w:t>(5) 所指明的宵禁期间必须落在自该要求首次生效之日起算的相关期间之内。</w:t>
      </w:r>
      <w:r>
        <w:br/>
      </w:r>
      <w:r>
        <w:rPr>
          <w:rFonts w:ascii="Times New Roman" w:hAnsi="Times New Roman" w:eastAsia="宋体" w:cs="Times New Roman"/>
          <w:color w:val="595959"/>
          <w:sz w:val="19"/>
        </w:rPr>
        <w:t>(6) 第(5)款中，"相关期间"指——</w:t>
      </w:r>
      <w:r>
        <w:br/>
      </w:r>
      <w:r>
        <w:rPr>
          <w:rFonts w:ascii="Times New Roman" w:hAnsi="Times New Roman" w:eastAsia="宋体" w:cs="Times New Roman"/>
          <w:color w:val="595959"/>
          <w:sz w:val="19"/>
        </w:rPr>
        <w:t>(a) 就罪犯定罪于2022年《警察、犯罪、量刑与法院法》第150条生效之日以前的犯罪的相关命令而言，12个月期间；以及</w:t>
      </w:r>
      <w:r>
        <w:br/>
      </w:r>
      <w:r>
        <w:rPr>
          <w:rFonts w:ascii="Times New Roman" w:hAnsi="Times New Roman" w:eastAsia="宋体" w:cs="Times New Roman"/>
          <w:color w:val="595959"/>
          <w:sz w:val="19"/>
        </w:rPr>
        <w:t>(b) 就罪犯定罪于该日或之后的相关命令而言，2年期间。</w:t>
      </w:r>
      <w:r>
        <w:br/>
      </w:r>
      <w:r>
        <w:rPr>
          <w:rFonts w:ascii="Times New Roman" w:hAnsi="Times New Roman" w:eastAsia="宋体" w:cs="Times New Roman"/>
          <w:color w:val="595959"/>
          <w:sz w:val="19"/>
        </w:rPr>
        <w:t>法院施加宵禁要求时的要求</w:t>
      </w:r>
      <w:r>
        <w:br/>
      </w:r>
      <w:r>
        <w:rPr>
          <w:rFonts w:ascii="Times New Roman" w:hAnsi="Times New Roman" w:eastAsia="宋体" w:cs="Times New Roman"/>
          <w:color w:val="595959"/>
          <w:sz w:val="19"/>
        </w:rPr>
        <w:t>10 (1) 在作出规定宵禁要求的相关命令之前，法院必须取得并考虑关于拟在命令中指明的每一场所的信息。</w:t>
      </w:r>
      <w:r>
        <w:br/>
      </w:r>
      <w:r>
        <w:rPr>
          <w:rFonts w:ascii="Times New Roman" w:hAnsi="Times New Roman" w:eastAsia="宋体" w:cs="Times New Roman"/>
          <w:color w:val="595959"/>
          <w:sz w:val="19"/>
        </w:rPr>
        <w:t>(2) 该信息必须包括关于可能因罪犯被强制留置于该处而受影响的人士的态度的信息。</w:t>
      </w:r>
      <w:r>
        <w:br/>
      </w:r>
      <w:r>
        <w:rPr>
          <w:rFonts w:ascii="Times New Roman" w:hAnsi="Times New Roman" w:eastAsia="宋体" w:cs="Times New Roman"/>
          <w:color w:val="595959"/>
          <w:sz w:val="19"/>
        </w:rPr>
        <w:t>(3) 法院作出规定宵禁要求的相关命令时，还必须为确保该要求得到遵守而施加电子遵守情况监控要求（见第29段），除非——</w:t>
      </w:r>
      <w:r>
        <w:br/>
      </w:r>
      <w:r>
        <w:rPr>
          <w:rFonts w:ascii="Times New Roman" w:hAnsi="Times New Roman" w:eastAsia="宋体" w:cs="Times New Roman"/>
          <w:color w:val="595959"/>
          <w:sz w:val="19"/>
        </w:rPr>
        <w:t>(a) 法院因下列规定而不能这样做——</w:t>
      </w:r>
      <w:r>
        <w:br/>
      </w:r>
      <w:r>
        <w:rPr>
          <w:rFonts w:ascii="Times New Roman" w:hAnsi="Times New Roman" w:eastAsia="宋体" w:cs="Times New Roman"/>
          <w:color w:val="595959"/>
          <w:sz w:val="19"/>
        </w:rPr>
        <w:t>(i) 第33段（须其同意之人的同意），或</w:t>
      </w:r>
      <w:r>
        <w:br/>
      </w:r>
      <w:r>
        <w:rPr>
          <w:rFonts w:ascii="Times New Roman" w:hAnsi="Times New Roman" w:eastAsia="宋体" w:cs="Times New Roman"/>
          <w:color w:val="595959"/>
          <w:sz w:val="19"/>
        </w:rPr>
        <w:t>(ii) 第34段第(1)款（相关区域内的安排），或</w:t>
      </w:r>
      <w:r>
        <w:br/>
      </w:r>
      <w:r>
        <w:rPr>
          <w:rFonts w:ascii="Times New Roman" w:hAnsi="Times New Roman" w:eastAsia="宋体" w:cs="Times New Roman"/>
          <w:color w:val="595959"/>
          <w:sz w:val="19"/>
        </w:rPr>
        <w:t>(b) 在案件的具体情况下，法院认为这样做并不适当。</w:t>
      </w:r>
      <w:r>
        <w:br/>
      </w:r>
      <w:r>
        <w:rPr>
          <w:rFonts w:ascii="Times New Roman" w:hAnsi="Times New Roman" w:eastAsia="宋体" w:cs="Times New Roman"/>
          <w:color w:val="595959"/>
          <w:sz w:val="19"/>
        </w:rPr>
        <w:t>负责任官员变更宵禁要求的权力</w:t>
      </w:r>
      <w:r>
        <w:br/>
      </w:r>
      <w:r>
        <w:rPr>
          <w:rFonts w:ascii="Times New Roman" w:hAnsi="Times New Roman" w:eastAsia="宋体" w:cs="Times New Roman"/>
          <w:color w:val="595959"/>
          <w:sz w:val="19"/>
        </w:rPr>
        <w:t>10A (1) 本段适用于下列情形——</w:t>
      </w:r>
      <w:r>
        <w:br/>
      </w:r>
      <w:r>
        <w:rPr>
          <w:rFonts w:ascii="Times New Roman" w:hAnsi="Times New Roman" w:eastAsia="宋体" w:cs="Times New Roman"/>
          <w:color w:val="595959"/>
          <w:sz w:val="19"/>
        </w:rPr>
        <w:t>(a) 相关命令正在有效期内；</w:t>
      </w:r>
      <w:r>
        <w:br/>
      </w:r>
      <w:r>
        <w:rPr>
          <w:rFonts w:ascii="Times New Roman" w:hAnsi="Times New Roman" w:eastAsia="宋体" w:cs="Times New Roman"/>
          <w:color w:val="595959"/>
          <w:sz w:val="19"/>
        </w:rPr>
        <w:t>(b) 该命令所涉犯罪，系罪犯定罪于2022年《警察、犯罪、量刑与法院法》第151条生效之日或之后的犯罪；</w:t>
      </w:r>
      <w:r>
        <w:br/>
      </w:r>
      <w:r>
        <w:rPr>
          <w:rFonts w:ascii="Times New Roman" w:hAnsi="Times New Roman" w:eastAsia="宋体" w:cs="Times New Roman"/>
          <w:color w:val="595959"/>
          <w:sz w:val="19"/>
        </w:rPr>
        <w:t>(c) 该命令包含依第9段施加的宵禁要求；且</w:t>
      </w:r>
      <w:r>
        <w:br/>
      </w:r>
      <w:r>
        <w:rPr>
          <w:rFonts w:ascii="Times New Roman" w:hAnsi="Times New Roman" w:eastAsia="宋体" w:cs="Times New Roman"/>
          <w:color w:val="595959"/>
          <w:sz w:val="19"/>
        </w:rPr>
        <w:t>(d) 负责任官员认为变更条件已满足。</w:t>
      </w:r>
      <w:r>
        <w:br/>
      </w:r>
      <w:r>
        <w:rPr>
          <w:rFonts w:ascii="Times New Roman" w:hAnsi="Times New Roman" w:eastAsia="宋体" w:cs="Times New Roman"/>
          <w:color w:val="595959"/>
          <w:sz w:val="19"/>
        </w:rPr>
        <w:t>(2) 如考虑到自相关命令作出以来罪犯情况的变化，宜为下列行为，则变更条件即属满足——</w:t>
      </w:r>
      <w:r>
        <w:br/>
      </w:r>
      <w:r>
        <w:rPr>
          <w:rFonts w:ascii="Times New Roman" w:hAnsi="Times New Roman" w:eastAsia="宋体" w:cs="Times New Roman"/>
          <w:color w:val="595959"/>
          <w:sz w:val="19"/>
        </w:rPr>
        <w:t>(a) 变更任何宵禁期间的起止时间（start time）；</w:t>
      </w:r>
      <w:r>
        <w:br/>
      </w:r>
      <w:r>
        <w:rPr>
          <w:rFonts w:ascii="Times New Roman" w:hAnsi="Times New Roman" w:eastAsia="宋体" w:cs="Times New Roman"/>
          <w:color w:val="595959"/>
          <w:sz w:val="19"/>
        </w:rPr>
        <w:t>(b) 变更与任何该等期间相关的相关场所。</w:t>
      </w:r>
      <w:r>
        <w:br/>
      </w:r>
      <w:r>
        <w:rPr>
          <w:rFonts w:ascii="Times New Roman" w:hAnsi="Times New Roman" w:eastAsia="宋体" w:cs="Times New Roman"/>
          <w:color w:val="595959"/>
          <w:sz w:val="19"/>
        </w:rPr>
        <w:t>(3) 负责任官员可经罪犯同意，向罪犯发出通知（"变更通知"），指明——</w:t>
      </w:r>
      <w:r>
        <w:br/>
      </w:r>
      <w:r>
        <w:rPr>
          <w:rFonts w:ascii="Times New Roman" w:hAnsi="Times New Roman" w:eastAsia="宋体" w:cs="Times New Roman"/>
          <w:color w:val="595959"/>
          <w:sz w:val="19"/>
        </w:rPr>
        <w:t>(a) 通知所指明宵禁期间的新起始时间；</w:t>
      </w:r>
      <w:r>
        <w:br/>
      </w:r>
      <w:r>
        <w:rPr>
          <w:rFonts w:ascii="Times New Roman" w:hAnsi="Times New Roman" w:eastAsia="宋体" w:cs="Times New Roman"/>
          <w:color w:val="595959"/>
          <w:sz w:val="19"/>
        </w:rPr>
        <w:t>(b) 如此指明的宵禁期间的新相关场所。</w:t>
      </w:r>
      <w:r>
        <w:br/>
      </w:r>
      <w:r>
        <w:rPr>
          <w:rFonts w:ascii="Times New Roman" w:hAnsi="Times New Roman" w:eastAsia="宋体" w:cs="Times New Roman"/>
          <w:color w:val="595959"/>
          <w:sz w:val="19"/>
        </w:rPr>
        <w:t>(4) 变更通知的效力为：按通知所指明的内容变更相关命令，自通知所指明之日起生效。</w:t>
      </w:r>
      <w:r>
        <w:br/>
      </w:r>
      <w:r>
        <w:rPr>
          <w:rFonts w:ascii="Times New Roman" w:hAnsi="Times New Roman" w:eastAsia="宋体" w:cs="Times New Roman"/>
          <w:color w:val="595959"/>
          <w:sz w:val="19"/>
        </w:rPr>
        <w:t>(5) 变更通知可就不同日期指明关于起始时间或相关场所的不同变更。</w:t>
      </w:r>
      <w:r>
        <w:br/>
      </w:r>
      <w:r>
        <w:rPr>
          <w:rFonts w:ascii="Times New Roman" w:hAnsi="Times New Roman" w:eastAsia="宋体" w:cs="Times New Roman"/>
          <w:color w:val="595959"/>
          <w:sz w:val="19"/>
        </w:rPr>
        <w:t>[...]</w:t>
      </w:r>
      <w:r>
        <w:br/>
      </w:r>
      <w:r>
        <w:rPr>
          <w:rFonts w:ascii="Times New Roman" w:hAnsi="Times New Roman" w:eastAsia="宋体" w:cs="Times New Roman"/>
          <w:color w:val="808080"/>
          <w:sz w:val="15"/>
        </w:rPr>
        <w:t>来源：https://www.legislation.gov.uk/ukpga/2020/17/schedule/9/part/5</w:t>
      </w:r>
    </w:p>
    <w:p>
      <w:pPr>
        <w:keepNext/>
        <w:spacing w:before="400" w:after="40"/>
      </w:pPr>
      <w:r>
        <w:rPr>
          <w:rFonts w:ascii="黑体" w:hAnsi="黑体" w:eastAsia="黑体" w:cs="黑体"/>
          <w:b/>
          <w:color w:val="1F3864"/>
          <w:sz w:val="26"/>
        </w:rPr>
        <w:t>《刑事司法法》第 246 条（家庭拘留宵禁）</w:t>
      </w:r>
    </w:p>
    <w:p>
      <w:pPr>
        <w:keepNext/>
        <w:spacing w:after="60"/>
      </w:pPr>
      <w:r>
        <w:rPr>
          <w:rFonts w:ascii="Times New Roman" w:hAnsi="Times New Roman" w:eastAsia="宋体" w:cs="Times New Roman"/>
          <w:color w:val="595959"/>
          <w:sz w:val="18"/>
        </w:rPr>
        <w:t>Criminal Justice Act 2003, s. 246</w:t>
      </w:r>
    </w:p>
    <w:p>
      <w:pPr>
        <w:keepNext/>
        <w:spacing w:after="160"/>
      </w:pPr>
      <w:r>
        <w:rPr>
          <w:rFonts w:ascii="Times New Roman" w:hAnsi="Times New Roman" w:eastAsia="宋体" w:cs="Times New Roman"/>
          <w:color w:val="808080"/>
          <w:sz w:val="16"/>
        </w:rPr>
        <w:t>2003 年 11 月 20 日 · 英格兰与威尔士</w:t>
      </w:r>
    </w:p>
    <w:p>
      <w:pPr>
        <w:keepNext w:val="0"/>
        <w:spacing w:after="120" w:line="336" w:lineRule="auto"/>
        <w:jc w:val="both"/>
      </w:pPr>
      <w:r>
        <w:rPr>
          <w:rFonts w:ascii="Times New Roman" w:hAnsi="Times New Roman" w:eastAsia="宋体" w:cs="Times New Roman"/>
          <w:color w:val="222222"/>
          <w:sz w:val="19"/>
        </w:rPr>
        <w:t>该条授权国务大臣在刑期届满前将囚犯以许可方式释放，条件由依该条制定的命令规定；条文标题本身不使用“家庭拘留宵禁”字样，该称法见于相关命令（如 2024 年命令）。</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246 Power to release prisoners on licence before required to do so</w:t>
      </w:r>
      <w:r>
        <w:br/>
      </w:r>
      <w:r>
        <w:rPr>
          <w:rFonts w:ascii="Times New Roman" w:hAnsi="Times New Roman" w:eastAsia="宋体" w:cs="Times New Roman"/>
          <w:color w:val="222222"/>
          <w:sz w:val="19"/>
        </w:rPr>
        <w:t>(1) Subject to subsections (2) to (4), the Secretary of State may—</w:t>
      </w:r>
      <w:r>
        <w:br/>
      </w:r>
      <w:r>
        <w:rPr>
          <w:rFonts w:ascii="Times New Roman" w:hAnsi="Times New Roman" w:eastAsia="宋体" w:cs="Times New Roman"/>
          <w:color w:val="222222"/>
          <w:sz w:val="19"/>
        </w:rPr>
        <w:t>(a) release on licence under this section a fixed-term prisoner, other than one to whom section 244ZA, 244A, 246A, 247, 247A or 247B or paragraph 4 or 24 of Schedule 20B applies, [...] at any time during the period of 365 days ending with the day on which the prisoner will have served the requisite custodial period, [...]</w:t>
      </w:r>
      <w:r>
        <w:br/>
      </w:r>
      <w:r>
        <w:rPr>
          <w:rFonts w:ascii="Times New Roman" w:hAnsi="Times New Roman" w:eastAsia="宋体" w:cs="Times New Roman"/>
          <w:color w:val="222222"/>
          <w:sz w:val="19"/>
        </w:rPr>
        <w:t>(2) Subsection (1)(a) does not apply in relation to a prisoner unless—</w:t>
      </w:r>
      <w:r>
        <w:br/>
      </w:r>
      <w:r>
        <w:rPr>
          <w:rFonts w:ascii="Times New Roman" w:hAnsi="Times New Roman" w:eastAsia="宋体" w:cs="Times New Roman"/>
          <w:color w:val="222222"/>
          <w:sz w:val="19"/>
        </w:rPr>
        <w:t>(a) the length of the requisite custodial period is at least 6 weeks, and</w:t>
      </w:r>
      <w:r>
        <w:br/>
      </w:r>
      <w:r>
        <w:rPr>
          <w:rFonts w:ascii="Times New Roman" w:hAnsi="Times New Roman" w:eastAsia="宋体" w:cs="Times New Roman"/>
          <w:color w:val="222222"/>
          <w:sz w:val="19"/>
        </w:rPr>
        <w:t>(b) he has served—</w:t>
      </w:r>
      <w:r>
        <w:br/>
      </w:r>
      <w:r>
        <w:rPr>
          <w:rFonts w:ascii="Times New Roman" w:hAnsi="Times New Roman" w:eastAsia="宋体" w:cs="Times New Roman"/>
          <w:color w:val="222222"/>
          <w:sz w:val="19"/>
        </w:rPr>
        <w:t>(i) at least 4 weeks of that period, and</w:t>
      </w:r>
      <w:r>
        <w:br/>
      </w:r>
      <w:r>
        <w:rPr>
          <w:rFonts w:ascii="Times New Roman" w:hAnsi="Times New Roman" w:eastAsia="宋体" w:cs="Times New Roman"/>
          <w:color w:val="222222"/>
          <w:sz w:val="19"/>
        </w:rPr>
        <w:t>(ii) at least one-half of that period.</w:t>
      </w:r>
      <w:r>
        <w:br/>
      </w:r>
      <w:r>
        <w:rPr>
          <w:rFonts w:ascii="Times New Roman" w:hAnsi="Times New Roman" w:eastAsia="宋体" w:cs="Times New Roman"/>
          <w:color w:val="222222"/>
          <w:sz w:val="19"/>
        </w:rPr>
        <w:t>[...]</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246 在法定释放前将囚犯以许可方式释放的权力</w:t>
      </w:r>
      <w:r>
        <w:br/>
      </w:r>
      <w:r>
        <w:rPr>
          <w:rFonts w:ascii="Times New Roman" w:hAnsi="Times New Roman" w:eastAsia="宋体" w:cs="Times New Roman"/>
          <w:color w:val="595959"/>
          <w:sz w:val="19"/>
        </w:rPr>
        <w:t>(1) 在符合第(2)款至第(4)款的前提下，国务大臣可——</w:t>
      </w:r>
      <w:r>
        <w:br/>
      </w:r>
      <w:r>
        <w:rPr>
          <w:rFonts w:ascii="Times New Roman" w:hAnsi="Times New Roman" w:eastAsia="宋体" w:cs="Times New Roman"/>
          <w:color w:val="595959"/>
          <w:sz w:val="19"/>
        </w:rPr>
        <w:t>(a) 依本条将定期刑囚犯以许可方式释放，但适用第244ZA条、第244A条、第246A条、第247条、第247A条或第247B条或附表20B第4段或第24段的囚犯除外，[...]在该囚犯服满必要羁押期间之日前的365日期间内的任何时间，[...]</w:t>
      </w:r>
      <w:r>
        <w:br/>
      </w:r>
      <w:r>
        <w:rPr>
          <w:rFonts w:ascii="Times New Roman" w:hAnsi="Times New Roman" w:eastAsia="宋体" w:cs="Times New Roman"/>
          <w:color w:val="595959"/>
          <w:sz w:val="19"/>
        </w:rPr>
        <w:t>(2) 除符合下列情形外，第(1)款(a)项不适用于囚犯——</w:t>
      </w:r>
      <w:r>
        <w:br/>
      </w:r>
      <w:r>
        <w:rPr>
          <w:rFonts w:ascii="Times New Roman" w:hAnsi="Times New Roman" w:eastAsia="宋体" w:cs="Times New Roman"/>
          <w:color w:val="595959"/>
          <w:sz w:val="19"/>
        </w:rPr>
        <w:t>(a) 必要羁押期间的长度至少为6周，且</w:t>
      </w:r>
      <w:r>
        <w:br/>
      </w:r>
      <w:r>
        <w:rPr>
          <w:rFonts w:ascii="Times New Roman" w:hAnsi="Times New Roman" w:eastAsia="宋体" w:cs="Times New Roman"/>
          <w:color w:val="595959"/>
          <w:sz w:val="19"/>
        </w:rPr>
        <w:t>(b) 其已服完——</w:t>
      </w:r>
      <w:r>
        <w:br/>
      </w:r>
      <w:r>
        <w:rPr>
          <w:rFonts w:ascii="Times New Roman" w:hAnsi="Times New Roman" w:eastAsia="宋体" w:cs="Times New Roman"/>
          <w:color w:val="595959"/>
          <w:sz w:val="19"/>
        </w:rPr>
        <w:t>(i) 该期间的至少4周，且</w:t>
      </w:r>
      <w:r>
        <w:br/>
      </w:r>
      <w:r>
        <w:rPr>
          <w:rFonts w:ascii="Times New Roman" w:hAnsi="Times New Roman" w:eastAsia="宋体" w:cs="Times New Roman"/>
          <w:color w:val="595959"/>
          <w:sz w:val="19"/>
        </w:rPr>
        <w:t>(ii) 该期间的至少二分之一。</w:t>
      </w:r>
      <w:r>
        <w:br/>
      </w:r>
      <w:r>
        <w:rPr>
          <w:rFonts w:ascii="Times New Roman" w:hAnsi="Times New Roman" w:eastAsia="宋体" w:cs="Times New Roman"/>
          <w:color w:val="595959"/>
          <w:sz w:val="19"/>
        </w:rPr>
        <w:t>[...]</w:t>
      </w:r>
      <w:r>
        <w:br/>
      </w:r>
      <w:r>
        <w:rPr>
          <w:rFonts w:ascii="Times New Roman" w:hAnsi="Times New Roman" w:eastAsia="宋体" w:cs="Times New Roman"/>
          <w:color w:val="808080"/>
          <w:sz w:val="15"/>
        </w:rPr>
        <w:t>来源：https://www.legislation.gov.uk/ukpga/2003/44/section/246</w:t>
      </w:r>
    </w:p>
    <w:p>
      <w:pPr>
        <w:keepNext/>
        <w:pageBreakBefore/>
        <w:spacing w:before="520" w:after="80"/>
      </w:pPr>
      <w:r>
        <w:rPr>
          <w:rFonts w:ascii="Times New Roman" w:hAnsi="Times New Roman" w:eastAsia="宋体" w:cs="Times New Roman"/>
          <w:color w:val="A9812C"/>
          <w:spacing w:val="120"/>
          <w:sz w:val="16"/>
        </w:rPr>
        <w:t>第六章</w:t>
      </w:r>
    </w:p>
    <w:p>
      <w:pPr>
        <w:keepNext/>
        <w:spacing w:before="40" w:after="60"/>
      </w:pPr>
      <w:r>
        <w:rPr>
          <w:rFonts w:ascii="黑体" w:hAnsi="黑体" w:eastAsia="黑体" w:cs="黑体"/>
          <w:b/>
          <w:color w:val="1F3864"/>
          <w:sz w:val="34"/>
        </w:rPr>
        <w:t>英国：紧急状态与公共卫生宵禁</w:t>
      </w:r>
    </w:p>
    <w:p>
      <w:pPr>
        <w:keepNext/>
        <w:pBdr>
          <w:bottom w:val="single" w:sz="6" w:space="6" w:color="1F3864"/>
        </w:pBdr>
        <w:spacing w:after="280"/>
      </w:pPr>
      <w:r>
        <w:rPr>
          <w:rFonts w:ascii="Times New Roman" w:hAnsi="Times New Roman" w:eastAsia="宋体" w:cs="Times New Roman"/>
          <w:i/>
          <w:color w:val="595959"/>
          <w:sz w:val="20"/>
        </w:rPr>
        <w:t>Emergency and Public Health Curfews</w:t>
      </w:r>
    </w:p>
    <w:p>
      <w:pPr>
        <w:keepNext w:val="0"/>
        <w:spacing w:after="140" w:line="336" w:lineRule="auto"/>
        <w:jc w:val="both"/>
      </w:pPr>
      <w:r>
        <w:rPr>
          <w:rFonts w:ascii="Times New Roman" w:hAnsi="Times New Roman" w:eastAsia="宋体" w:cs="Times New Roman"/>
          <w:color w:val="222222"/>
          <w:sz w:val="19"/>
        </w:rPr>
        <w:t>英国的紧急宵禁依据 2004 年《民事紧急状态法》。该法授权政府在发生严重紧急事件时制定紧急条例，可以禁止或限制人员、车辆与物品的移动，禁止或限制集会与公共活动，管制特定场所。条例须在七日内提交议会审议，二十八日内复审。这是英国和平时期最宽的行政授权，也是 2020 年防疫措施的法律框架。</w:t>
      </w:r>
    </w:p>
    <w:p>
      <w:pPr>
        <w:keepNext w:val="0"/>
        <w:spacing w:after="140" w:line="336" w:lineRule="auto"/>
        <w:jc w:val="both"/>
      </w:pPr>
      <w:r>
        <w:rPr>
          <w:rFonts w:ascii="Times New Roman" w:hAnsi="Times New Roman" w:eastAsia="宋体" w:cs="Times New Roman"/>
          <w:color w:val="222222"/>
          <w:sz w:val="19"/>
        </w:rPr>
        <w:t>2020 年 9 月 24 日，英格兰对招待业实行宵禁：酒吧、餐厅须在晚十时前关闭，外卖除外。这一措施持续到 11 月 5 日全国封城，此后转为分级限制；2021 年解封后不再恢复。苏格兰、威尔士与北爱尔兰另有各自的时段限制。从法律形式看，它们都是依公共卫生法与紧急状态法制定的附属立法，而不是议会立法。</w:t>
      </w:r>
    </w:p>
    <w:p>
      <w:pPr>
        <w:keepNext w:val="0"/>
        <w:spacing w:after="140" w:line="336" w:lineRule="auto"/>
        <w:jc w:val="both"/>
      </w:pPr>
      <w:r>
        <w:rPr>
          <w:rFonts w:ascii="Times New Roman" w:hAnsi="Times New Roman" w:eastAsia="宋体" w:cs="Times New Roman"/>
          <w:color w:val="222222"/>
          <w:sz w:val="19"/>
        </w:rPr>
        <w:t>这类宵禁的司法审查门槛很高。原告须证明条例越权（ultra vires）或违反《人权法》所保护的公约权利，且法院通常给予行政部门在科学不确定情形下的裁量余地。实际发生的诉讼很少，且多在疫情结束后才进入实体审理。结果是：2020 至 2021 年英国最广泛的宵禁，几乎未经司法检验。</w:t>
      </w:r>
    </w:p>
    <w:p>
      <w:pPr>
        <w:keepNext w:val="0"/>
        <w:spacing w:after="140" w:line="336" w:lineRule="auto"/>
        <w:jc w:val="both"/>
      </w:pPr>
      <w:r>
        <w:rPr>
          <w:rFonts w:ascii="Times New Roman" w:hAnsi="Times New Roman" w:eastAsia="宋体" w:cs="Times New Roman"/>
          <w:color w:val="222222"/>
          <w:sz w:val="19"/>
        </w:rPr>
        <w:t>与青少年宵禁相比，公共卫生宵禁的正当性论证更强——它针对的是普遍风险，而不是某一群体；但它的代价也更大：数以万计的企业、雇员与夜间活动被一并限制。这正是本书把它单列一章的原因：同一个词，在治安法里是自由与安全的权衡，在防疫法里是公共卫生与生计的权衡。</w:t>
      </w:r>
    </w:p>
    <w:p>
      <w:pPr>
        <w:keepNext/>
        <w:pageBreakBefore/>
        <w:spacing w:before="520" w:after="80"/>
      </w:pPr>
      <w:r>
        <w:rPr>
          <w:rFonts w:ascii="Times New Roman" w:hAnsi="Times New Roman" w:eastAsia="宋体" w:cs="Times New Roman"/>
          <w:color w:val="A9812C"/>
          <w:spacing w:val="120"/>
          <w:sz w:val="16"/>
        </w:rPr>
        <w:t>第七章</w:t>
      </w:r>
    </w:p>
    <w:p>
      <w:pPr>
        <w:keepNext/>
        <w:spacing w:before="40" w:after="60"/>
      </w:pPr>
      <w:r>
        <w:rPr>
          <w:rFonts w:ascii="黑体" w:hAnsi="黑体" w:eastAsia="黑体" w:cs="黑体"/>
          <w:b/>
          <w:color w:val="1F3864"/>
          <w:sz w:val="34"/>
        </w:rPr>
        <w:t>实践：执行、效果与争议</w:t>
      </w:r>
    </w:p>
    <w:p>
      <w:pPr>
        <w:keepNext/>
        <w:pBdr>
          <w:bottom w:val="single" w:sz="6" w:space="6" w:color="1F3864"/>
        </w:pBdr>
        <w:spacing w:after="280"/>
      </w:pPr>
      <w:r>
        <w:rPr>
          <w:rFonts w:ascii="Times New Roman" w:hAnsi="Times New Roman" w:eastAsia="宋体" w:cs="Times New Roman"/>
          <w:i/>
          <w:color w:val="595959"/>
          <w:sz w:val="20"/>
        </w:rPr>
        <w:t>Practice: Enforcement, Effectiveness and Controversy</w:t>
      </w:r>
    </w:p>
    <w:p>
      <w:pPr>
        <w:keepNext w:val="0"/>
        <w:spacing w:after="140" w:line="336" w:lineRule="auto"/>
        <w:jc w:val="both"/>
      </w:pPr>
      <w:r>
        <w:rPr>
          <w:rFonts w:ascii="Times New Roman" w:hAnsi="Times New Roman" w:eastAsia="宋体" w:cs="Times New Roman"/>
          <w:color w:val="222222"/>
          <w:sz w:val="19"/>
        </w:rPr>
        <w:t>青少年宵禁的效果证据一直薄弱。美国国家司法研究所资助的多项评估发现，宵禁实施后青少年犯罪与受害的下降难以归因于宵禁本身：实施宵禁的城市往往同时增加了巡逻、开展了社区项目，且犯罪率在未实施宵禁的邻近城市也同步下降。更一致的发现是执行率极低——违反宵禁 rarely 被处罚，条例主要作为警察“接触与盘问”的由头。</w:t>
      </w:r>
    </w:p>
    <w:p>
      <w:pPr>
        <w:keepNext w:val="0"/>
        <w:spacing w:after="140" w:line="336" w:lineRule="auto"/>
        <w:jc w:val="both"/>
      </w:pPr>
      <w:r>
        <w:rPr>
          <w:rFonts w:ascii="Times New Roman" w:hAnsi="Times New Roman" w:eastAsia="宋体" w:cs="Times New Roman"/>
          <w:color w:val="222222"/>
          <w:sz w:val="19"/>
        </w:rPr>
        <w:t>执行中的差别影响是另一个争点。美国多地的执法数据显示，宵禁告票集中在少数族裔社区与特定街区；英国的驱散令研究亦有类似发现。支持者主张这是犯罪分布的反映，批评者主张这是执法资源的分配结果。两种解释都难以被数据完全证实或推翻，这也是宵禁争议长期悬置的原因。</w:t>
      </w:r>
    </w:p>
    <w:p>
      <w:pPr>
        <w:keepNext w:val="0"/>
        <w:spacing w:after="140" w:line="336" w:lineRule="auto"/>
        <w:jc w:val="both"/>
      </w:pPr>
      <w:r>
        <w:rPr>
          <w:rFonts w:ascii="Times New Roman" w:hAnsi="Times New Roman" w:eastAsia="宋体" w:cs="Times New Roman"/>
          <w:color w:val="222222"/>
          <w:sz w:val="19"/>
        </w:rPr>
        <w:t>相比之下，刑事程序中的宵禁是高频、可计量、且有明确成本的制度。英国的 HDC 每年涉及数万人，电子监控合同以亿英镑计；美国的审前电子监控在各州广泛使用，费用由被告或县政府承担。它们的争议不在“是否合宪”，而在“是否值得”：监控失败的责任如何分配、对就业与家庭的影响是否被计入、以及它是否只是把监狱的成本转移给了社区。</w:t>
      </w:r>
    </w:p>
    <w:p>
      <w:pPr>
        <w:keepNext w:val="0"/>
        <w:spacing w:after="140" w:line="336" w:lineRule="auto"/>
        <w:jc w:val="both"/>
      </w:pPr>
      <w:r>
        <w:rPr>
          <w:rFonts w:ascii="Times New Roman" w:hAnsi="Times New Roman" w:eastAsia="宋体" w:cs="Times New Roman"/>
          <w:color w:val="222222"/>
          <w:sz w:val="19"/>
        </w:rPr>
        <w:t>三个跨国的观察可以收束本章。第一，宵禁的“法律形式”与“实际强度”常常错位：最像宵禁的英国儿童宵禁方案几乎零使用，最不像宵禁的美国保释条件却每天运转。第二，效果证据越弱，象征政治的功能越强——宵禁回应的是“有人在管”的公众感受。第三，紧急宵禁的可诉性最低，因而最需要事前的程序约束（时限、复审、议会审议），而不是事后的司法审查。</w:t>
      </w:r>
    </w:p>
    <w:p>
      <w:pPr>
        <w:keepNext/>
        <w:pageBreakBefore/>
        <w:spacing w:before="520" w:after="80"/>
      </w:pPr>
      <w:r>
        <w:rPr>
          <w:rFonts w:ascii="Times New Roman" w:hAnsi="Times New Roman" w:eastAsia="宋体" w:cs="Times New Roman"/>
          <w:color w:val="A9812C"/>
          <w:spacing w:val="120"/>
          <w:sz w:val="16"/>
        </w:rPr>
        <w:t>第八章</w:t>
      </w:r>
    </w:p>
    <w:p>
      <w:pPr>
        <w:keepNext/>
        <w:spacing w:before="40" w:after="60"/>
      </w:pPr>
      <w:r>
        <w:rPr>
          <w:rFonts w:ascii="黑体" w:hAnsi="黑体" w:eastAsia="黑体" w:cs="黑体"/>
          <w:b/>
          <w:color w:val="1F3864"/>
          <w:sz w:val="34"/>
        </w:rPr>
        <w:t>结论：两种治理传统</w:t>
      </w:r>
    </w:p>
    <w:p>
      <w:pPr>
        <w:keepNext/>
        <w:pBdr>
          <w:bottom w:val="single" w:sz="6" w:space="6" w:color="1F3864"/>
        </w:pBdr>
        <w:spacing w:after="280"/>
      </w:pPr>
      <w:r>
        <w:rPr>
          <w:rFonts w:ascii="Times New Roman" w:hAnsi="Times New Roman" w:eastAsia="宋体" w:cs="Times New Roman"/>
          <w:i/>
          <w:color w:val="595959"/>
          <w:sz w:val="20"/>
        </w:rPr>
        <w:t>Conclusion: Two Governing Traditions</w:t>
      </w:r>
    </w:p>
    <w:p>
      <w:pPr>
        <w:keepNext w:val="0"/>
        <w:spacing w:after="140" w:line="336" w:lineRule="auto"/>
        <w:jc w:val="both"/>
      </w:pPr>
      <w:r>
        <w:rPr>
          <w:rFonts w:ascii="Times New Roman" w:hAnsi="Times New Roman" w:eastAsia="宋体" w:cs="Times New Roman"/>
          <w:color w:val="222222"/>
          <w:sz w:val="19"/>
        </w:rPr>
        <w:t>把两国并置，可以看到两种治理传统。美国把宵禁当作“权利问题”：任何限制都要通过宪法审查，审查的强度取决于它触及哪项权利，结果是巡回区之间的分裂与条文起草的精细化。英国把宵禁当作“工具问题”：议会授权、部长制定、法院在比例原则下有限审查，结果是工具的不断替换——儿童宵禁方案失效就换成驱散令，驱散令不够就加上 PSPO。</w:t>
      </w:r>
    </w:p>
    <w:p>
      <w:pPr>
        <w:keepNext w:val="0"/>
        <w:spacing w:after="140" w:line="336" w:lineRule="auto"/>
        <w:jc w:val="both"/>
      </w:pPr>
      <w:r>
        <w:rPr>
          <w:rFonts w:ascii="Times New Roman" w:hAnsi="Times New Roman" w:eastAsia="宋体" w:cs="Times New Roman"/>
          <w:color w:val="222222"/>
          <w:sz w:val="19"/>
        </w:rPr>
        <w:t>两种传统的代价不同。美国模式的代价是碎片化与不确定性：同一个条例在加州可能被推翻，在弗吉尼亚可能被维持；地方立法者为规避诉讼而不断加长例外清单，条文日益复杂。英国模式的代价是问责的稀薄：工具的更替很少经过公开的效果评估，法院也极少介入，宵禁的边界实际上由内政部指南与警局惯例划定。</w:t>
      </w:r>
    </w:p>
    <w:p>
      <w:pPr>
        <w:keepNext w:val="0"/>
        <w:spacing w:after="140" w:line="336" w:lineRule="auto"/>
        <w:jc w:val="both"/>
      </w:pPr>
      <w:r>
        <w:rPr>
          <w:rFonts w:ascii="Times New Roman" w:hAnsi="Times New Roman" w:eastAsia="宋体" w:cs="Times New Roman"/>
          <w:color w:val="222222"/>
          <w:sz w:val="19"/>
        </w:rPr>
        <w:t>对研究者而言，最值得追踪的不是“有没有宵禁法”，而是三个具体问题：其一，青少年宵禁的合宪性在美国是否会在某个时点被联邦最高法院统一；其二，英国在废止儿童宵禁方案后，驱散令与 PSPO 的使用数据是否会被系统公开；其三，2020 至 2021 年的公共卫生宵禁会留下什么样的司法先例——目前几乎是空白。</w:t>
      </w:r>
    </w:p>
    <w:p>
      <w:pPr>
        <w:keepNext w:val="0"/>
        <w:spacing w:after="140" w:line="336" w:lineRule="auto"/>
        <w:jc w:val="both"/>
      </w:pPr>
      <w:r>
        <w:rPr>
          <w:rFonts w:ascii="Times New Roman" w:hAnsi="Times New Roman" w:eastAsia="宋体" w:cs="Times New Roman"/>
          <w:color w:val="222222"/>
          <w:sz w:val="19"/>
        </w:rPr>
        <w:t>这三条线索都不在“宵禁”这个词的表面。它们分别落在宪法审查、行政数据公开与紧急权力监督上，而这三件事，恰好是英美两国制度差异最集中的地方。</w:t>
      </w:r>
    </w:p>
    <w:p>
      <w:pPr>
        <w:keepNext/>
        <w:pBdr>
          <w:bottom w:val="single" w:sz="4" w:space="4" w:color="BFBFBF"/>
        </w:pBdr>
        <w:spacing w:before="680" w:after="200"/>
      </w:pPr>
      <w:r>
        <w:rPr>
          <w:rFonts w:ascii="黑体" w:hAnsi="黑体" w:eastAsia="黑体" w:cs="黑体"/>
          <w:b/>
          <w:color w:val="1F3864"/>
          <w:sz w:val="28"/>
        </w:rPr>
        <w:t>附录一 · 大事年表</w:t>
      </w:r>
      <w:r>
        <w:rPr>
          <w:rFonts w:ascii="Times New Roman" w:hAnsi="Times New Roman" w:eastAsia="宋体" w:cs="Times New Roman"/>
          <w:sz w:val="24"/>
        </w:rPr>
        <w:t xml:space="preserve">　</w:t>
      </w:r>
      <w:r>
        <w:rPr>
          <w:rFonts w:ascii="Times New Roman" w:hAnsi="Times New Roman" w:eastAsia="宋体" w:cs="Times New Roman"/>
          <w:color w:val="595959"/>
          <w:sz w:val="18"/>
        </w:rPr>
        <w:t>Chronology, 1899-2024</w:t>
      </w:r>
    </w:p>
    <w:p>
      <w:pPr>
        <w:spacing w:before="0" w:after="100" w:line="312" w:lineRule="auto"/>
        <w:ind w:left="850" w:hanging="850"/>
      </w:pPr>
      <w:r>
        <w:rPr>
          <w:rFonts w:ascii="Times New Roman" w:hAnsi="Times New Roman" w:eastAsia="宋体" w:cs="Times New Roman"/>
          <w:b/>
          <w:color w:val="1F3864"/>
          <w:sz w:val="18"/>
        </w:rPr>
        <w:t>1899</w:t>
      </w:r>
      <w:r>
        <w:rPr>
          <w:rFonts w:ascii="Times New Roman" w:hAnsi="Times New Roman" w:eastAsia="宋体" w:cs="Times New Roman"/>
          <w:color w:val="222222"/>
          <w:sz w:val="18"/>
        </w:rPr>
        <w:t xml:space="preserve">　美国首个少年法院在芝加哥库克县设立，青少年管制从刑罚转向“国家监护”，为日后的宵禁立法提供制度背景。</w:t>
      </w:r>
    </w:p>
    <w:p>
      <w:pPr>
        <w:spacing w:before="0" w:after="100" w:line="312" w:lineRule="auto"/>
        <w:ind w:left="850" w:hanging="850"/>
      </w:pPr>
      <w:r>
        <w:rPr>
          <w:rFonts w:ascii="Times New Roman" w:hAnsi="Times New Roman" w:eastAsia="宋体" w:cs="Times New Roman"/>
          <w:b/>
          <w:color w:val="1F3864"/>
          <w:sz w:val="18"/>
        </w:rPr>
        <w:t>1993</w:t>
      </w:r>
      <w:r>
        <w:rPr>
          <w:rFonts w:ascii="Times New Roman" w:hAnsi="Times New Roman" w:eastAsia="宋体" w:cs="Times New Roman"/>
          <w:color w:val="222222"/>
          <w:sz w:val="18"/>
        </w:rPr>
        <w:t xml:space="preserve">　Qutb v. Strauss：第五巡回法院维持达拉斯青少年宵禁。</w:t>
      </w:r>
    </w:p>
    <w:p>
      <w:pPr>
        <w:spacing w:before="0" w:after="100" w:line="312" w:lineRule="auto"/>
        <w:ind w:left="850" w:hanging="850"/>
      </w:pPr>
      <w:r>
        <w:rPr>
          <w:rFonts w:ascii="Times New Roman" w:hAnsi="Times New Roman" w:eastAsia="宋体" w:cs="Times New Roman"/>
          <w:b/>
          <w:color w:val="1F3864"/>
          <w:sz w:val="18"/>
        </w:rPr>
        <w:t>1997</w:t>
      </w:r>
      <w:r>
        <w:rPr>
          <w:rFonts w:ascii="Times New Roman" w:hAnsi="Times New Roman" w:eastAsia="宋体" w:cs="Times New Roman"/>
          <w:color w:val="222222"/>
          <w:sz w:val="18"/>
        </w:rPr>
        <w:t xml:space="preserve">　Nunez v. City of San Diego：第九巡回法院认定圣迭戈宵禁违宪。</w:t>
      </w:r>
    </w:p>
    <w:p>
      <w:pPr>
        <w:spacing w:before="0" w:after="100" w:line="312" w:lineRule="auto"/>
        <w:ind w:left="850" w:hanging="850"/>
      </w:pPr>
      <w:r>
        <w:rPr>
          <w:rFonts w:ascii="Times New Roman" w:hAnsi="Times New Roman" w:eastAsia="宋体" w:cs="Times New Roman"/>
          <w:b/>
          <w:color w:val="1F3864"/>
          <w:sz w:val="18"/>
        </w:rPr>
        <w:t>1998</w:t>
      </w:r>
      <w:r>
        <w:rPr>
          <w:rFonts w:ascii="Times New Roman" w:hAnsi="Times New Roman" w:eastAsia="宋体" w:cs="Times New Roman"/>
          <w:color w:val="222222"/>
          <w:sz w:val="18"/>
        </w:rPr>
        <w:t xml:space="preserve">　Schleifer v. City of Charlottesville：第四巡回法院维持宵禁；英国《犯罪与治安紊乱法》第 14 条设立地方儿童宵禁方案。</w:t>
      </w:r>
    </w:p>
    <w:p>
      <w:pPr>
        <w:spacing w:before="0" w:after="100" w:line="312" w:lineRule="auto"/>
        <w:ind w:left="850" w:hanging="850"/>
      </w:pPr>
      <w:r>
        <w:rPr>
          <w:rFonts w:ascii="Times New Roman" w:hAnsi="Times New Roman" w:eastAsia="宋体" w:cs="Times New Roman"/>
          <w:b/>
          <w:color w:val="1F3864"/>
          <w:sz w:val="18"/>
        </w:rPr>
        <w:t>1999</w:t>
      </w:r>
      <w:r>
        <w:rPr>
          <w:rFonts w:ascii="Times New Roman" w:hAnsi="Times New Roman" w:eastAsia="宋体" w:cs="Times New Roman"/>
          <w:color w:val="222222"/>
          <w:sz w:val="18"/>
        </w:rPr>
        <w:t xml:space="preserve">　City of Chicago v. Morales：联邦最高法院以含糊为由废止芝加哥反游荡条例。</w:t>
      </w:r>
    </w:p>
    <w:p>
      <w:pPr>
        <w:spacing w:before="0" w:after="100" w:line="312" w:lineRule="auto"/>
        <w:ind w:left="850" w:hanging="850"/>
      </w:pPr>
      <w:r>
        <w:rPr>
          <w:rFonts w:ascii="Times New Roman" w:hAnsi="Times New Roman" w:eastAsia="宋体" w:cs="Times New Roman"/>
          <w:b/>
          <w:color w:val="1F3864"/>
          <w:sz w:val="18"/>
        </w:rPr>
        <w:t>2003</w:t>
      </w:r>
      <w:r>
        <w:rPr>
          <w:rFonts w:ascii="Times New Roman" w:hAnsi="Times New Roman" w:eastAsia="宋体" w:cs="Times New Roman"/>
          <w:color w:val="222222"/>
          <w:sz w:val="18"/>
        </w:rPr>
        <w:t xml:space="preserve">　Ramos v. Town of Vernon：第二巡回法院维持康涅狄格州宵禁；英国《反社会行为法》把儿童宵禁方案的适用年龄提高到十六岁；《刑事司法法》第 246 条确立家庭拘留宵禁。</w:t>
      </w:r>
    </w:p>
    <w:p>
      <w:pPr>
        <w:spacing w:before="0" w:after="100" w:line="312" w:lineRule="auto"/>
        <w:ind w:left="850" w:hanging="850"/>
      </w:pPr>
      <w:r>
        <w:rPr>
          <w:rFonts w:ascii="Times New Roman" w:hAnsi="Times New Roman" w:eastAsia="宋体" w:cs="Times New Roman"/>
          <w:b/>
          <w:color w:val="1F3864"/>
          <w:sz w:val="18"/>
        </w:rPr>
        <w:t>2004</w:t>
      </w:r>
      <w:r>
        <w:rPr>
          <w:rFonts w:ascii="Times New Roman" w:hAnsi="Times New Roman" w:eastAsia="宋体" w:cs="Times New Roman"/>
          <w:color w:val="222222"/>
          <w:sz w:val="18"/>
        </w:rPr>
        <w:t xml:space="preserve">　Hodgkins v. Peterson：第七巡回法院认定印第安纳州宵禁违宪；英国《民事紧急状态法》生效。</w:t>
      </w:r>
    </w:p>
    <w:p>
      <w:pPr>
        <w:spacing w:before="0" w:after="100" w:line="312" w:lineRule="auto"/>
        <w:ind w:left="850" w:hanging="850"/>
      </w:pPr>
      <w:r>
        <w:rPr>
          <w:rFonts w:ascii="Times New Roman" w:hAnsi="Times New Roman" w:eastAsia="宋体" w:cs="Times New Roman"/>
          <w:b/>
          <w:color w:val="1F3864"/>
          <w:sz w:val="18"/>
        </w:rPr>
        <w:t>2010</w:t>
      </w:r>
      <w:r>
        <w:rPr>
          <w:rFonts w:ascii="Times New Roman" w:hAnsi="Times New Roman" w:eastAsia="宋体" w:cs="Times New Roman"/>
          <w:color w:val="222222"/>
          <w:sz w:val="18"/>
        </w:rPr>
        <w:t xml:space="preserve">　2009 年《警务与犯罪法》废止地方儿童宵禁方案，2010 年 1 月 12 日生效。</w:t>
      </w:r>
    </w:p>
    <w:p>
      <w:pPr>
        <w:spacing w:before="0" w:after="100" w:line="312" w:lineRule="auto"/>
        <w:ind w:left="850" w:hanging="850"/>
      </w:pPr>
      <w:r>
        <w:rPr>
          <w:rFonts w:ascii="Times New Roman" w:hAnsi="Times New Roman" w:eastAsia="宋体" w:cs="Times New Roman"/>
          <w:b/>
          <w:color w:val="1F3864"/>
          <w:sz w:val="18"/>
        </w:rPr>
        <w:t>2014</w:t>
      </w:r>
      <w:r>
        <w:rPr>
          <w:rFonts w:ascii="Times New Roman" w:hAnsi="Times New Roman" w:eastAsia="宋体" w:cs="Times New Roman"/>
          <w:color w:val="222222"/>
          <w:sz w:val="18"/>
        </w:rPr>
        <w:t xml:space="preserve">　英国《反社会行为、犯罪与警务法》生效，以驱散令与 PSPO 取代儿童宵禁方案。</w:t>
      </w:r>
    </w:p>
    <w:p>
      <w:pPr>
        <w:spacing w:before="0" w:after="100" w:line="312" w:lineRule="auto"/>
        <w:ind w:left="850" w:hanging="850"/>
      </w:pPr>
      <w:r>
        <w:rPr>
          <w:rFonts w:ascii="Times New Roman" w:hAnsi="Times New Roman" w:eastAsia="宋体" w:cs="Times New Roman"/>
          <w:b/>
          <w:color w:val="1F3864"/>
          <w:sz w:val="18"/>
        </w:rPr>
        <w:t>2020</w:t>
      </w:r>
      <w:r>
        <w:rPr>
          <w:rFonts w:ascii="Times New Roman" w:hAnsi="Times New Roman" w:eastAsia="宋体" w:cs="Times New Roman"/>
          <w:color w:val="222222"/>
          <w:sz w:val="18"/>
        </w:rPr>
        <w:t xml:space="preserve">　英格兰 9 月 24 日起对招待业实行二十二时宵禁；美国多座城市因抗议与疫情发布夜间宵禁。</w:t>
      </w:r>
    </w:p>
    <w:p>
      <w:pPr>
        <w:spacing w:before="0" w:after="100" w:line="312" w:lineRule="auto"/>
        <w:ind w:left="850" w:hanging="850"/>
      </w:pPr>
      <w:r>
        <w:rPr>
          <w:rFonts w:ascii="Times New Roman" w:hAnsi="Times New Roman" w:eastAsia="宋体" w:cs="Times New Roman"/>
          <w:b/>
          <w:color w:val="1F3864"/>
          <w:sz w:val="18"/>
        </w:rPr>
        <w:t>2021</w:t>
      </w:r>
      <w:r>
        <w:rPr>
          <w:rFonts w:ascii="Times New Roman" w:hAnsi="Times New Roman" w:eastAsia="宋体" w:cs="Times New Roman"/>
          <w:color w:val="222222"/>
          <w:sz w:val="18"/>
        </w:rPr>
        <w:t xml:space="preserve">　英格兰分阶段解封，防疫宵禁终止。</w:t>
      </w:r>
    </w:p>
    <w:p>
      <w:pPr>
        <w:spacing w:before="0" w:after="100" w:line="312" w:lineRule="auto"/>
        <w:ind w:left="850" w:hanging="850"/>
      </w:pPr>
      <w:r>
        <w:rPr>
          <w:rFonts w:ascii="Times New Roman" w:hAnsi="Times New Roman" w:eastAsia="宋体" w:cs="Times New Roman"/>
          <w:b/>
          <w:color w:val="1F3864"/>
          <w:sz w:val="18"/>
        </w:rPr>
        <w:t>2024</w:t>
      </w:r>
      <w:r>
        <w:rPr>
          <w:rFonts w:ascii="Times New Roman" w:hAnsi="Times New Roman" w:eastAsia="宋体" w:cs="Times New Roman"/>
          <w:color w:val="222222"/>
          <w:sz w:val="18"/>
        </w:rPr>
        <w:t xml:space="preserve">　英美均无新的全国性宵禁立法；争议集中于地方条例、驱散令使用与电子监控成本。</w:t>
      </w:r>
    </w:p>
    <w:p>
      <w:pPr>
        <w:keepNext/>
        <w:pBdr>
          <w:bottom w:val="single" w:sz="4" w:space="4" w:color="BFBFBF"/>
        </w:pBdr>
        <w:spacing w:before="600" w:after="200"/>
      </w:pPr>
      <w:r>
        <w:rPr>
          <w:rFonts w:ascii="黑体" w:hAnsi="黑体" w:eastAsia="黑体" w:cs="黑体"/>
          <w:b/>
          <w:color w:val="1F3864"/>
          <w:sz w:val="28"/>
        </w:rPr>
        <w:t>附录二 · 术语对照</w:t>
      </w:r>
      <w:r>
        <w:rPr>
          <w:rFonts w:ascii="Times New Roman" w:hAnsi="Times New Roman" w:eastAsia="宋体" w:cs="Times New Roman"/>
          <w:sz w:val="24"/>
        </w:rPr>
        <w:t xml:space="preserve">　</w:t>
      </w:r>
      <w:r>
        <w:rPr>
          <w:rFonts w:ascii="Times New Roman" w:hAnsi="Times New Roman" w:eastAsia="宋体" w:cs="Times New Roman"/>
          <w:color w:val="595959"/>
          <w:sz w:val="18"/>
        </w:rPr>
        <w:t>Key Terms</w:t>
      </w:r>
    </w:p>
    <w:p>
      <w:pPr>
        <w:spacing w:before="0" w:after="40" w:line="300" w:lineRule="auto"/>
        <w:ind w:left="227"/>
      </w:pPr>
      <w:r>
        <w:rPr>
          <w:rFonts w:ascii="黑体" w:hAnsi="黑体" w:eastAsia="黑体" w:cs="黑体"/>
          <w:b/>
          <w:color w:val="222222"/>
          <w:sz w:val="19"/>
        </w:rPr>
        <w:t>青少年宵禁</w:t>
      </w:r>
      <w:r>
        <w:rPr>
          <w:rFonts w:ascii="Times New Roman" w:hAnsi="Times New Roman" w:eastAsia="宋体" w:cs="Times New Roman"/>
          <w:i/>
          <w:color w:val="808080"/>
          <w:sz w:val="17"/>
        </w:rPr>
        <w:t xml:space="preserve">　Juvenile curfew</w:t>
      </w:r>
      <w:r>
        <w:rPr>
          <w:rFonts w:ascii="Times New Roman" w:hAnsi="Times New Roman" w:eastAsia="宋体" w:cs="Times New Roman"/>
          <w:color w:val="222222"/>
          <w:sz w:val="18"/>
        </w:rPr>
        <w:t xml:space="preserve">　以年龄与夜间时段为要件的公共场所限制，通常附上学、工作、紧急情况与家长陪同等例外。</w:t>
      </w:r>
    </w:p>
    <w:p>
      <w:pPr>
        <w:spacing w:before="0" w:after="40" w:line="300" w:lineRule="auto"/>
        <w:ind w:left="227"/>
      </w:pPr>
      <w:r>
        <w:rPr>
          <w:rFonts w:ascii="黑体" w:hAnsi="黑体" w:eastAsia="黑体" w:cs="黑体"/>
          <w:b/>
          <w:color w:val="222222"/>
          <w:sz w:val="19"/>
        </w:rPr>
        <w:t>紧急宵禁</w:t>
      </w:r>
      <w:r>
        <w:rPr>
          <w:rFonts w:ascii="Times New Roman" w:hAnsi="Times New Roman" w:eastAsia="宋体" w:cs="Times New Roman"/>
          <w:i/>
          <w:color w:val="808080"/>
          <w:sz w:val="17"/>
        </w:rPr>
        <w:t xml:space="preserve">　Emergency curfew</w:t>
      </w:r>
      <w:r>
        <w:rPr>
          <w:rFonts w:ascii="Times New Roman" w:hAnsi="Times New Roman" w:eastAsia="宋体" w:cs="Times New Roman"/>
          <w:color w:val="222222"/>
          <w:sz w:val="18"/>
        </w:rPr>
        <w:t xml:space="preserve">　由州长、市长依紧急权力法发布的限时、限区行动限制，司法审查门槛极高。</w:t>
      </w:r>
    </w:p>
    <w:p>
      <w:pPr>
        <w:spacing w:before="0" w:after="40" w:line="300" w:lineRule="auto"/>
        <w:ind w:left="227"/>
      </w:pPr>
      <w:r>
        <w:rPr>
          <w:rFonts w:ascii="黑体" w:hAnsi="黑体" w:eastAsia="黑体" w:cs="黑体"/>
          <w:b/>
          <w:color w:val="222222"/>
          <w:sz w:val="19"/>
        </w:rPr>
        <w:t>宵禁要求</w:t>
      </w:r>
      <w:r>
        <w:rPr>
          <w:rFonts w:ascii="Times New Roman" w:hAnsi="Times New Roman" w:eastAsia="宋体" w:cs="Times New Roman"/>
          <w:i/>
          <w:color w:val="808080"/>
          <w:sz w:val="17"/>
        </w:rPr>
        <w:t xml:space="preserve">　Curfew requirement</w:t>
      </w:r>
      <w:r>
        <w:rPr>
          <w:rFonts w:ascii="Times New Roman" w:hAnsi="Times New Roman" w:eastAsia="宋体" w:cs="Times New Roman"/>
          <w:color w:val="222222"/>
          <w:sz w:val="18"/>
        </w:rPr>
        <w:t xml:space="preserve">　英国社区刑罚中的附款：每日不少于两小时、不超过十六或二十小时，七日不超过一百一十二小时，通常配电子监控。</w:t>
      </w:r>
    </w:p>
    <w:p>
      <w:pPr>
        <w:spacing w:before="0" w:after="40" w:line="300" w:lineRule="auto"/>
        <w:ind w:left="227"/>
      </w:pPr>
      <w:r>
        <w:rPr>
          <w:rFonts w:ascii="黑体" w:hAnsi="黑体" w:eastAsia="黑体" w:cs="黑体"/>
          <w:b/>
          <w:color w:val="222222"/>
          <w:sz w:val="19"/>
        </w:rPr>
        <w:t>家庭拘留宵禁</w:t>
      </w:r>
      <w:r>
        <w:rPr>
          <w:rFonts w:ascii="Times New Roman" w:hAnsi="Times New Roman" w:eastAsia="宋体" w:cs="Times New Roman"/>
          <w:i/>
          <w:color w:val="808080"/>
          <w:sz w:val="17"/>
        </w:rPr>
        <w:t xml:space="preserve">　Home detention curfew (HDC)</w:t>
      </w:r>
      <w:r>
        <w:rPr>
          <w:rFonts w:ascii="Times New Roman" w:hAnsi="Times New Roman" w:eastAsia="宋体" w:cs="Times New Roman"/>
          <w:color w:val="222222"/>
          <w:sz w:val="18"/>
        </w:rPr>
        <w:t xml:space="preserve">　英国提前释放制度：在必要羁押期届满前最多三百六十五日获释（原为一百三十五日），附带夜间宵禁与电子监控。</w:t>
      </w:r>
    </w:p>
    <w:p>
      <w:pPr>
        <w:spacing w:before="0" w:after="40" w:line="300" w:lineRule="auto"/>
        <w:ind w:left="227"/>
      </w:pPr>
      <w:r>
        <w:rPr>
          <w:rFonts w:ascii="黑体" w:hAnsi="黑体" w:eastAsia="黑体" w:cs="黑体"/>
          <w:b/>
          <w:color w:val="222222"/>
          <w:sz w:val="19"/>
        </w:rPr>
        <w:t>地方儿童宵禁方案</w:t>
      </w:r>
      <w:r>
        <w:rPr>
          <w:rFonts w:ascii="Times New Roman" w:hAnsi="Times New Roman" w:eastAsia="宋体" w:cs="Times New Roman"/>
          <w:i/>
          <w:color w:val="808080"/>
          <w:sz w:val="17"/>
        </w:rPr>
        <w:t xml:space="preserve">　Local child curfew scheme</w:t>
      </w:r>
      <w:r>
        <w:rPr>
          <w:rFonts w:ascii="Times New Roman" w:hAnsi="Times New Roman" w:eastAsia="宋体" w:cs="Times New Roman"/>
          <w:color w:val="222222"/>
          <w:sz w:val="18"/>
        </w:rPr>
        <w:t xml:space="preserve">　1998 年法第 14 条授权地方当局对十岁以下儿童的时段限制，2003 年提高至十六岁，2010 年废止，几乎未使用。</w:t>
      </w:r>
    </w:p>
    <w:p>
      <w:pPr>
        <w:spacing w:before="0" w:after="40" w:line="300" w:lineRule="auto"/>
        <w:ind w:left="227"/>
      </w:pPr>
      <w:r>
        <w:rPr>
          <w:rFonts w:ascii="黑体" w:hAnsi="黑体" w:eastAsia="黑体" w:cs="黑体"/>
          <w:b/>
          <w:color w:val="222222"/>
          <w:sz w:val="19"/>
        </w:rPr>
        <w:t>驱散令</w:t>
      </w:r>
      <w:r>
        <w:rPr>
          <w:rFonts w:ascii="Times New Roman" w:hAnsi="Times New Roman" w:eastAsia="宋体" w:cs="Times New Roman"/>
          <w:i/>
          <w:color w:val="808080"/>
          <w:sz w:val="17"/>
        </w:rPr>
        <w:t xml:space="preserve">　Dispersal order</w:t>
      </w:r>
      <w:r>
        <w:rPr>
          <w:rFonts w:ascii="Times New Roman" w:hAnsi="Times New Roman" w:eastAsia="宋体" w:cs="Times New Roman"/>
          <w:color w:val="222222"/>
          <w:sz w:val="18"/>
        </w:rPr>
        <w:t xml:space="preserve">　2014 年法第 35 条：警察可要求有反社会行为之虞者离开指定区域，四十八小时内不得返回。</w:t>
      </w:r>
    </w:p>
    <w:p>
      <w:pPr>
        <w:spacing w:before="0" w:after="40" w:line="300" w:lineRule="auto"/>
        <w:ind w:left="227"/>
      </w:pPr>
      <w:r>
        <w:rPr>
          <w:rFonts w:ascii="黑体" w:hAnsi="黑体" w:eastAsia="黑体" w:cs="黑体"/>
          <w:b/>
          <w:color w:val="222222"/>
          <w:sz w:val="19"/>
        </w:rPr>
        <w:t>公共空间保护令</w:t>
      </w:r>
      <w:r>
        <w:rPr>
          <w:rFonts w:ascii="Times New Roman" w:hAnsi="Times New Roman" w:eastAsia="宋体" w:cs="Times New Roman"/>
          <w:i/>
          <w:color w:val="808080"/>
          <w:sz w:val="17"/>
        </w:rPr>
        <w:t xml:space="preserve">　Public spaces protection order (PSPO)</w:t>
      </w:r>
      <w:r>
        <w:rPr>
          <w:rFonts w:ascii="Times New Roman" w:hAnsi="Times New Roman" w:eastAsia="宋体" w:cs="Times New Roman"/>
          <w:color w:val="222222"/>
          <w:sz w:val="18"/>
        </w:rPr>
        <w:t xml:space="preserve">　地方当局设定的行为限制，可对违反者处以定额罚款，实践中承担了部分宵禁功能。</w:t>
      </w:r>
    </w:p>
    <w:p>
      <w:pPr>
        <w:spacing w:before="0" w:after="40" w:line="300" w:lineRule="auto"/>
        <w:ind w:left="227"/>
      </w:pPr>
      <w:r>
        <w:rPr>
          <w:rFonts w:ascii="黑体" w:hAnsi="黑体" w:eastAsia="黑体" w:cs="黑体"/>
          <w:b/>
          <w:color w:val="222222"/>
          <w:sz w:val="19"/>
        </w:rPr>
        <w:t>严格审查</w:t>
      </w:r>
      <w:r>
        <w:rPr>
          <w:rFonts w:ascii="Times New Roman" w:hAnsi="Times New Roman" w:eastAsia="宋体" w:cs="Times New Roman"/>
          <w:i/>
          <w:color w:val="808080"/>
          <w:sz w:val="17"/>
        </w:rPr>
        <w:t xml:space="preserve">　Strict scrutiny</w:t>
      </w:r>
      <w:r>
        <w:rPr>
          <w:rFonts w:ascii="Times New Roman" w:hAnsi="Times New Roman" w:eastAsia="宋体" w:cs="Times New Roman"/>
          <w:color w:val="222222"/>
          <w:sz w:val="18"/>
        </w:rPr>
        <w:t xml:space="preserve">　美国宪法审查的最严标准：手段须经精细设计以实现紧迫利益，青少年宵禁争议的核心。</w:t>
      </w:r>
    </w:p>
    <w:p>
      <w:pPr>
        <w:spacing w:before="0" w:after="40" w:line="300" w:lineRule="auto"/>
        <w:ind w:left="227"/>
      </w:pPr>
      <w:r>
        <w:rPr>
          <w:rFonts w:ascii="黑体" w:hAnsi="黑体" w:eastAsia="黑体" w:cs="黑体"/>
          <w:b/>
          <w:color w:val="222222"/>
          <w:sz w:val="19"/>
        </w:rPr>
        <w:t>因含糊而无效</w:t>
      </w:r>
      <w:r>
        <w:rPr>
          <w:rFonts w:ascii="Times New Roman" w:hAnsi="Times New Roman" w:eastAsia="宋体" w:cs="Times New Roman"/>
          <w:i/>
          <w:color w:val="808080"/>
          <w:sz w:val="17"/>
        </w:rPr>
        <w:t xml:space="preserve">　Void for vagueness</w:t>
      </w:r>
      <w:r>
        <w:rPr>
          <w:rFonts w:ascii="Times New Roman" w:hAnsi="Times New Roman" w:eastAsia="宋体" w:cs="Times New Roman"/>
          <w:color w:val="222222"/>
          <w:sz w:val="18"/>
        </w:rPr>
        <w:t xml:space="preserve">　条文未给出可操作的判断标准，使执法者拥有不受约束的裁量，Morales 案的判决基础。</w:t>
      </w:r>
    </w:p>
    <w:p>
      <w:pPr>
        <w:spacing w:before="0" w:after="40" w:line="300" w:lineRule="auto"/>
        <w:ind w:left="227"/>
      </w:pPr>
      <w:r>
        <w:rPr>
          <w:rFonts w:ascii="黑体" w:hAnsi="黑体" w:eastAsia="黑体" w:cs="黑体"/>
          <w:b/>
          <w:color w:val="222222"/>
          <w:sz w:val="19"/>
        </w:rPr>
        <w:t>比例原则</w:t>
      </w:r>
      <w:r>
        <w:rPr>
          <w:rFonts w:ascii="Times New Roman" w:hAnsi="Times New Roman" w:eastAsia="宋体" w:cs="Times New Roman"/>
          <w:i/>
          <w:color w:val="808080"/>
          <w:sz w:val="17"/>
        </w:rPr>
        <w:t xml:space="preserve">　Proportionality</w:t>
      </w:r>
      <w:r>
        <w:rPr>
          <w:rFonts w:ascii="Times New Roman" w:hAnsi="Times New Roman" w:eastAsia="宋体" w:cs="Times New Roman"/>
          <w:color w:val="222222"/>
          <w:sz w:val="18"/>
        </w:rPr>
        <w:t xml:space="preserve">　英国与欧洲人权法下的审查方法：限制须有合法目的、与其相称且为最小必要手段。</w:t>
      </w:r>
    </w:p>
    <w:p>
      <w:pPr>
        <w:spacing w:before="0" w:after="40" w:line="300" w:lineRule="auto"/>
        <w:ind w:left="227"/>
      </w:pPr>
      <w:r>
        <w:rPr>
          <w:rFonts w:ascii="黑体" w:hAnsi="黑体" w:eastAsia="黑体" w:cs="黑体"/>
          <w:b/>
          <w:color w:val="222222"/>
          <w:sz w:val="19"/>
        </w:rPr>
        <w:t>电子监控</w:t>
      </w:r>
      <w:r>
        <w:rPr>
          <w:rFonts w:ascii="Times New Roman" w:hAnsi="Times New Roman" w:eastAsia="宋体" w:cs="Times New Roman"/>
          <w:i/>
          <w:color w:val="808080"/>
          <w:sz w:val="17"/>
        </w:rPr>
        <w:t xml:space="preserve">　Electronic monitoring</w:t>
      </w:r>
      <w:r>
        <w:rPr>
          <w:rFonts w:ascii="Times New Roman" w:hAnsi="Times New Roman" w:eastAsia="宋体" w:cs="Times New Roman"/>
          <w:color w:val="222222"/>
          <w:sz w:val="18"/>
        </w:rPr>
        <w:t xml:space="preserve">　以脚环或手环核实被监控人是否在指定时段处于指定地点，刑事宵禁的执行技术。</w:t>
      </w:r>
    </w:p>
    <w:p>
      <w:pPr>
        <w:spacing w:before="0" w:after="40" w:line="300" w:lineRule="auto"/>
        <w:ind w:left="227"/>
      </w:pPr>
      <w:r>
        <w:rPr>
          <w:rFonts w:ascii="黑体" w:hAnsi="黑体" w:eastAsia="黑体" w:cs="黑体"/>
          <w:b/>
          <w:color w:val="222222"/>
          <w:sz w:val="19"/>
        </w:rPr>
        <w:t>父母自由利益</w:t>
      </w:r>
      <w:r>
        <w:rPr>
          <w:rFonts w:ascii="Times New Roman" w:hAnsi="Times New Roman" w:eastAsia="宋体" w:cs="Times New Roman"/>
          <w:i/>
          <w:color w:val="808080"/>
          <w:sz w:val="17"/>
        </w:rPr>
        <w:t xml:space="preserve">　Parental liberty interest</w:t>
      </w:r>
      <w:r>
        <w:rPr>
          <w:rFonts w:ascii="Times New Roman" w:hAnsi="Times New Roman" w:eastAsia="宋体" w:cs="Times New Roman"/>
          <w:color w:val="222222"/>
          <w:sz w:val="18"/>
        </w:rPr>
        <w:t xml:space="preserve">　美国正当程序条款下父母抚养与安排子女人身自由的权利，Nunez 案的关键论据。</w:t>
      </w:r>
    </w:p>
    <w:p>
      <w:pPr>
        <w:keepNext/>
        <w:pBdr>
          <w:bottom w:val="single" w:sz="4" w:space="4" w:color="BFBFBF"/>
        </w:pBdr>
        <w:spacing w:before="600" w:after="200"/>
      </w:pPr>
      <w:r>
        <w:rPr>
          <w:rFonts w:ascii="黑体" w:hAnsi="黑体" w:eastAsia="黑体" w:cs="黑体"/>
          <w:b/>
          <w:color w:val="1F3864"/>
          <w:sz w:val="28"/>
        </w:rPr>
        <w:t>附录三 · 延伸阅读</w:t>
      </w:r>
      <w:r>
        <w:rPr>
          <w:rFonts w:ascii="Times New Roman" w:hAnsi="Times New Roman" w:eastAsia="宋体" w:cs="Times New Roman"/>
          <w:sz w:val="24"/>
        </w:rPr>
        <w:t xml:space="preserve">　</w:t>
      </w:r>
      <w:r>
        <w:rPr>
          <w:rFonts w:ascii="Times New Roman" w:hAnsi="Times New Roman" w:eastAsia="宋体" w:cs="Times New Roman"/>
          <w:color w:val="595959"/>
          <w:sz w:val="18"/>
        </w:rPr>
        <w:t>Further Reading</w:t>
      </w:r>
    </w:p>
    <w:p>
      <w:pPr>
        <w:keepNext/>
        <w:spacing w:before="0" w:after="20" w:line="288" w:lineRule="auto"/>
      </w:pPr>
      <w:r>
        <w:rPr>
          <w:rFonts w:ascii="Times New Roman" w:hAnsi="Times New Roman" w:eastAsia="宋体" w:cs="Times New Roman"/>
          <w:color w:val="222222"/>
          <w:sz w:val="18"/>
        </w:rPr>
        <w:t>英国立法数据库 · legislation.gov.uk</w:t>
      </w:r>
    </w:p>
    <w:p>
      <w:pPr>
        <w:spacing w:before="0" w:after="40" w:line="252" w:lineRule="auto"/>
      </w:pPr>
      <w:r>
        <w:rPr>
          <w:rFonts w:ascii="Times New Roman" w:hAnsi="Times New Roman" w:eastAsia="宋体" w:cs="Times New Roman"/>
          <w:color w:val="808080"/>
          <w:sz w:val="16"/>
        </w:rPr>
        <w:t>https://www.legislation.gov.uk</w:t>
      </w:r>
    </w:p>
    <w:p>
      <w:pPr>
        <w:keepNext/>
        <w:spacing w:before="0" w:after="20" w:line="288" w:lineRule="auto"/>
      </w:pPr>
      <w:r>
        <w:rPr>
          <w:rFonts w:ascii="Times New Roman" w:hAnsi="Times New Roman" w:eastAsia="宋体" w:cs="Times New Roman"/>
          <w:color w:val="222222"/>
          <w:sz w:val="18"/>
        </w:rPr>
        <w:t>英国量刑委员会 · 社区命令与宵禁要求</w:t>
      </w:r>
    </w:p>
    <w:p>
      <w:pPr>
        <w:spacing w:before="0" w:after="40" w:line="252" w:lineRule="auto"/>
      </w:pPr>
      <w:r>
        <w:rPr>
          <w:rFonts w:ascii="Times New Roman" w:hAnsi="Times New Roman" w:eastAsia="宋体" w:cs="Times New Roman"/>
          <w:color w:val="808080"/>
          <w:sz w:val="16"/>
        </w:rPr>
        <w:t>https://www.sentencingcouncil.org.uk</w:t>
      </w:r>
    </w:p>
    <w:p>
      <w:pPr>
        <w:keepNext/>
        <w:spacing w:before="0" w:after="20" w:line="288" w:lineRule="auto"/>
      </w:pPr>
      <w:r>
        <w:rPr>
          <w:rFonts w:ascii="Times New Roman" w:hAnsi="Times New Roman" w:eastAsia="宋体" w:cs="Times New Roman"/>
          <w:color w:val="222222"/>
          <w:sz w:val="18"/>
        </w:rPr>
        <w:t>英国内政部 · 反社会行为与驱散令统计</w:t>
      </w:r>
    </w:p>
    <w:p>
      <w:pPr>
        <w:spacing w:before="0" w:after="40" w:line="252" w:lineRule="auto"/>
      </w:pPr>
      <w:r>
        <w:rPr>
          <w:rFonts w:ascii="Times New Roman" w:hAnsi="Times New Roman" w:eastAsia="宋体" w:cs="Times New Roman"/>
          <w:color w:val="808080"/>
          <w:sz w:val="16"/>
        </w:rPr>
        <w:t>https://www.gov.uk/government/statistics</w:t>
      </w:r>
    </w:p>
    <w:p>
      <w:pPr>
        <w:keepNext/>
        <w:spacing w:before="0" w:after="20" w:line="288" w:lineRule="auto"/>
      </w:pPr>
      <w:r>
        <w:rPr>
          <w:rFonts w:ascii="Times New Roman" w:hAnsi="Times New Roman" w:eastAsia="宋体" w:cs="Times New Roman"/>
          <w:color w:val="222222"/>
          <w:sz w:val="18"/>
        </w:rPr>
        <w:t>美国国家司法研究所 · 青少年宵禁评估</w:t>
      </w:r>
    </w:p>
    <w:p>
      <w:pPr>
        <w:spacing w:before="0" w:after="40" w:line="252" w:lineRule="auto"/>
      </w:pPr>
      <w:r>
        <w:rPr>
          <w:rFonts w:ascii="Times New Roman" w:hAnsi="Times New Roman" w:eastAsia="宋体" w:cs="Times New Roman"/>
          <w:color w:val="808080"/>
          <w:sz w:val="16"/>
        </w:rPr>
        <w:t>https://nij.ojp.gov</w:t>
      </w:r>
    </w:p>
    <w:p>
      <w:pPr>
        <w:keepNext/>
        <w:spacing w:before="0" w:after="20" w:line="288" w:lineRule="auto"/>
      </w:pPr>
      <w:r>
        <w:rPr>
          <w:rFonts w:ascii="Times New Roman" w:hAnsi="Times New Roman" w:eastAsia="宋体" w:cs="Times New Roman"/>
          <w:color w:val="222222"/>
          <w:sz w:val="18"/>
        </w:rPr>
        <w:t>Oyez · 联邦最高法院口头辩论</w:t>
      </w:r>
    </w:p>
    <w:p>
      <w:pPr>
        <w:spacing w:before="0" w:after="40" w:line="252" w:lineRule="auto"/>
      </w:pPr>
      <w:r>
        <w:rPr>
          <w:rFonts w:ascii="Times New Roman" w:hAnsi="Times New Roman" w:eastAsia="宋体" w:cs="Times New Roman"/>
          <w:color w:val="808080"/>
          <w:sz w:val="16"/>
        </w:rPr>
        <w:t>https://www.oyez.org</w:t>
      </w:r>
    </w:p>
    <w:p>
      <w:pPr>
        <w:spacing w:before="160"/>
      </w:pPr>
      <w:r>
        <w:rPr>
          <w:rFonts w:ascii="Times New Roman" w:hAnsi="Times New Roman" w:eastAsia="宋体" w:cs="Times New Roman"/>
          <w:color w:val="808080"/>
          <w:sz w:val="16"/>
        </w:rPr>
        <w:t>本册由编译者整理排印 · 2026 年 10 月</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宵禁：英美的法律与实践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