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120"/>
        <w:jc w:val="center"/>
      </w:pPr>
      <w:r>
        <w:rPr>
          <w:rFonts w:ascii="Times New Roman" w:hAnsi="Times New Roman" w:eastAsia="宋体" w:cs="Times New Roman"/>
          <w:color w:val="595959"/>
          <w:spacing w:val="80"/>
          <w:sz w:val="20"/>
        </w:rPr>
        <w:t>美利坚合众国执法体制</w:t>
      </w:r>
    </w:p>
    <w:p>
      <w:pPr>
        <w:pBdr>
          <w:bottom w:val="single" w:sz="8" w:space="14" w:color="1F3864"/>
        </w:pBdr>
        <w:spacing w:before="600" w:after="200"/>
        <w:jc w:val="center"/>
      </w:pPr>
      <w:r>
        <w:rPr>
          <w:rFonts w:ascii="黑体" w:hAnsi="黑体" w:eastAsia="黑体" w:cs="黑体"/>
          <w:b/>
          <w:color w:val="1F3864"/>
          <w:spacing w:val="60"/>
          <w:sz w:val="64"/>
        </w:rPr>
        <w:t>美国执法机关</w:t>
      </w:r>
    </w:p>
    <w:p>
      <w:pPr>
        <w:spacing w:before="200" w:after="80"/>
        <w:jc w:val="center"/>
      </w:pPr>
      <w:r>
        <w:rPr>
          <w:rFonts w:ascii="Times New Roman" w:hAnsi="Times New Roman" w:eastAsia="宋体" w:cs="Times New Roman"/>
          <w:color w:val="595959"/>
          <w:sz w:val="30"/>
        </w:rPr>
        <w:t>Law Enforcement in the United States: Powers and Limits</w:t>
      </w:r>
    </w:p>
    <w:p>
      <w:pPr>
        <w:spacing w:before="960" w:after="80"/>
        <w:jc w:val="center"/>
      </w:pPr>
      <w:r>
        <w:rPr>
          <w:rFonts w:ascii="Times New Roman" w:hAnsi="Times New Roman" w:eastAsia="宋体" w:cs="Times New Roman"/>
          <w:color w:val="222222"/>
          <w:sz w:val="22"/>
        </w:rPr>
        <w:t>机构、授权与边界：六部法律、八个判决（1789—2018）</w:t>
      </w:r>
    </w:p>
    <w:p>
      <w:pPr>
        <w:spacing w:before="4000" w:after="40"/>
        <w:jc w:val="center"/>
      </w:pPr>
      <w:r>
        <w:rPr>
          <w:rFonts w:ascii="Times New Roman" w:hAnsi="Times New Roman" w:eastAsia="宋体" w:cs="Times New Roman"/>
          <w:color w:val="808080"/>
          <w:sz w:val="17"/>
        </w:rPr>
        <w:t>法条与判决意见据康奈尔法律信息研究所、govinfo 等公开文本逐字摘录</w:t>
      </w:r>
    </w:p>
    <w:p>
      <w:pPr>
        <w:jc w:val="center"/>
      </w:pPr>
      <w:r>
        <w:rPr>
          <w:rFonts w:ascii="Times New Roman" w:hAnsi="Times New Roman" w:eastAsia="宋体" w:cs="Times New Roman"/>
          <w:color w:val="808080"/>
          <w:sz w:val="17"/>
        </w:rPr>
        <w:t>英文原件转录本与简体中文译文对照</w:t>
      </w:r>
    </w:p>
    <w:p>
      <w:r>
        <w:br w:type="page"/>
      </w:r>
    </w:p>
    <w:p>
      <w:pPr>
        <w:pBdr>
          <w:bottom w:val="single" w:sz="4" w:space="4" w:color="BFBFBF"/>
        </w:pBdr>
        <w:spacing w:before="0" w:after="200"/>
      </w:pPr>
      <w:r>
        <w:rPr>
          <w:rFonts w:ascii="黑体" w:hAnsi="黑体" w:eastAsia="黑体" w:cs="黑体"/>
          <w:b/>
          <w:color w:val="1F3864"/>
          <w:sz w:val="26"/>
        </w:rPr>
        <w:t>导言</w:t>
      </w:r>
    </w:p>
    <w:p>
      <w:pPr>
        <w:spacing w:after="120" w:line="324" w:lineRule="auto"/>
        <w:ind w:firstLine="420"/>
        <w:jc w:val="both"/>
      </w:pPr>
      <w:r>
        <w:rPr>
          <w:rFonts w:ascii="Times New Roman" w:hAnsi="Times New Roman" w:eastAsia="宋体" w:cs="Times New Roman"/>
          <w:color w:val="222222"/>
          <w:sz w:val="19"/>
        </w:rPr>
        <w:t>美国的执法权分散在三层：联邦、州与地方。联邦没有一支统一的“国家警察”，而是分布在若干部委之下——司法部辖联邦调查局（FBI）、缉毒局（DEA）、烟酒火器与爆炸物管理局（ATF）、联邦法警局（USMS）与监狱局（BOP）；国土安全部辖移民与海关执法局（ICE）、海关与边境保护局（CBP）、特勤局（USSS）、运输安全管理局（TSA）与海岸警卫队（USCG）；财政部还有国税局刑事调查（IRS-CI）。</w:t>
      </w:r>
    </w:p>
    <w:p>
      <w:pPr>
        <w:spacing w:after="120" w:line="324" w:lineRule="auto"/>
        <w:ind w:firstLine="420"/>
        <w:jc w:val="both"/>
      </w:pPr>
      <w:r>
        <w:rPr>
          <w:rFonts w:ascii="Times New Roman" w:hAnsi="Times New Roman" w:eastAsia="宋体" w:cs="Times New Roman"/>
          <w:color w:val="222222"/>
          <w:sz w:val="19"/>
        </w:rPr>
        <w:t>州一级有州警与州调查局，县一级有选举产生的治安官（sheriff），市一级有警察局，此外还有数千个学区、交通、公园与大学警察机构。全美执法机构数以万计，绝大多数警员受雇于地方，而非联邦。</w:t>
      </w:r>
    </w:p>
    <w:p>
      <w:pPr>
        <w:spacing w:after="120" w:line="324" w:lineRule="auto"/>
        <w:ind w:firstLine="420"/>
        <w:jc w:val="both"/>
      </w:pPr>
      <w:r>
        <w:rPr>
          <w:rFonts w:ascii="Times New Roman" w:hAnsi="Times New Roman" w:eastAsia="宋体" w:cs="Times New Roman"/>
          <w:color w:val="222222"/>
          <w:sz w:val="19"/>
        </w:rPr>
        <w:t>执法的法律约束来自四层：宪法第四修正案（搜查、扣押、逮捕）、第五与第六修正案（讯问与律师）、第十四修正案（把上述权利适用于各州）；联邦民权法——18 U.S.C. § 242 把“以法律为名”故意剥夺权利定为犯罪，34 U.S.C. § 12601（原 42 U.S.C. § 14141）允许司法部对存在“一贯做法”的警察机关提起民事诉讼；州法与警察局内部规章；以及军事力量介入国内执法所受的限制（Posse Comitatus Act）。</w:t>
      </w:r>
    </w:p>
    <w:p>
      <w:pPr>
        <w:pBdr>
          <w:bottom w:val="single" w:sz="4" w:space="4" w:color="BFBFBF"/>
        </w:pBdr>
        <w:spacing w:before="320" w:after="200"/>
      </w:pPr>
      <w:r>
        <w:rPr>
          <w:rFonts w:ascii="黑体" w:hAnsi="黑体" w:eastAsia="黑体" w:cs="黑体"/>
          <w:b/>
          <w:color w:val="1F3864"/>
          <w:sz w:val="26"/>
        </w:rPr>
        <w:t>编例</w:t>
      </w:r>
    </w:p>
    <w:p>
      <w:pPr>
        <w:spacing w:after="120" w:line="324" w:lineRule="auto"/>
        <w:ind w:firstLine="420"/>
        <w:jc w:val="both"/>
      </w:pPr>
      <w:r>
        <w:rPr>
          <w:rFonts w:ascii="Times New Roman" w:hAnsi="Times New Roman" w:eastAsia="宋体" w:cs="Times New Roman"/>
          <w:color w:val="222222"/>
          <w:sz w:val="19"/>
        </w:rPr>
        <w:t>一、法条与判决意见均据公开的官方文本逐字摘录，省略处以 [...] 标示；每条末尾注明所据网址。</w:t>
      </w:r>
    </w:p>
    <w:p>
      <w:pPr>
        <w:spacing w:after="120" w:line="324" w:lineRule="auto"/>
        <w:ind w:firstLine="420"/>
        <w:jc w:val="both"/>
      </w:pPr>
      <w:r>
        <w:rPr>
          <w:rFonts w:ascii="Times New Roman" w:hAnsi="Times New Roman" w:eastAsia="宋体" w:cs="Times New Roman"/>
          <w:color w:val="222222"/>
          <w:sz w:val="19"/>
        </w:rPr>
        <w:t>二、法条以现行《美国法典》编纂文本为准；已重新编纂或修正的条文，在条目标题下注明原编号与修正情况。</w:t>
      </w:r>
    </w:p>
    <w:p>
      <w:pPr>
        <w:spacing w:after="120" w:line="324" w:lineRule="auto"/>
        <w:ind w:firstLine="420"/>
        <w:jc w:val="both"/>
      </w:pPr>
      <w:r>
        <w:rPr>
          <w:rFonts w:ascii="Times New Roman" w:hAnsi="Times New Roman" w:eastAsia="宋体" w:cs="Times New Roman"/>
          <w:color w:val="222222"/>
          <w:sz w:val="19"/>
        </w:rPr>
        <w:t>三、判决只摘录表述裁判理由的关键段落；事实、争点与影响由编者以中文概述。</w:t>
      </w:r>
    </w:p>
    <w:p>
      <w:pPr>
        <w:spacing w:after="120" w:line="324" w:lineRule="auto"/>
        <w:ind w:firstLine="420"/>
        <w:jc w:val="both"/>
      </w:pPr>
      <w:r>
        <w:rPr>
          <w:rFonts w:ascii="Times New Roman" w:hAnsi="Times New Roman" w:eastAsia="宋体" w:cs="Times New Roman"/>
          <w:color w:val="222222"/>
          <w:sz w:val="19"/>
        </w:rPr>
        <w:t>四、中文译文为研读参考，不是官方译本；引用时请以英文原文为准。</w:t>
      </w:r>
    </w:p>
    <w:p>
      <w:pPr>
        <w:spacing w:after="120" w:line="324" w:lineRule="auto"/>
        <w:ind w:firstLine="420"/>
        <w:jc w:val="both"/>
      </w:pPr>
      <w:r>
        <w:rPr>
          <w:rFonts w:ascii="Times New Roman" w:hAnsi="Times New Roman" w:eastAsia="宋体" w:cs="Times New Roman"/>
          <w:color w:val="222222"/>
          <w:sz w:val="19"/>
        </w:rPr>
        <w:t>五、本编所称“执法机关”包括联邦、州与地方三个层级；机构职责以现行分工为准。</w:t>
      </w:r>
    </w:p>
    <w:p>
      <w:r>
        <w:br w:type="page"/>
      </w:r>
    </w:p>
    <w:p>
      <w:pPr>
        <w:pBdr>
          <w:bottom w:val="single" w:sz="6" w:space="6" w:color="1F3864"/>
        </w:pBdr>
        <w:spacing w:before="400" w:after="80"/>
      </w:pPr>
      <w:r>
        <w:rPr>
          <w:rFonts w:ascii="黑体" w:hAnsi="黑体" w:eastAsia="黑体" w:cs="黑体"/>
          <w:b/>
          <w:color w:val="1F3864"/>
          <w:sz w:val="28"/>
        </w:rPr>
        <w:t>机构速览</w:t>
      </w:r>
    </w:p>
    <w:p>
      <w:pPr>
        <w:spacing w:after="200"/>
      </w:pPr>
      <w:r>
        <w:rPr>
          <w:rFonts w:ascii="Times New Roman" w:hAnsi="Times New Roman" w:eastAsia="宋体" w:cs="Times New Roman"/>
          <w:color w:val="808080"/>
          <w:sz w:val="17"/>
        </w:rPr>
        <w:t>Federal, state and local agencies</w:t>
      </w:r>
    </w:p>
    <w:p>
      <w:pPr>
        <w:spacing w:after="60" w:line="324" w:lineRule="auto"/>
        <w:ind w:left="397" w:hanging="397"/>
      </w:pPr>
      <w:r>
        <w:rPr>
          <w:rFonts w:ascii="Times New Roman" w:hAnsi="Times New Roman" w:eastAsia="宋体" w:cs="Times New Roman"/>
          <w:b/>
          <w:color w:val="222222"/>
          <w:sz w:val="18"/>
        </w:rPr>
        <w:t xml:space="preserve">联邦调查局（FBI）　</w:t>
      </w:r>
      <w:r>
        <w:rPr>
          <w:rFonts w:ascii="Times New Roman" w:hAnsi="Times New Roman" w:eastAsia="宋体" w:cs="Times New Roman"/>
          <w:color w:val="808080"/>
          <w:sz w:val="17"/>
        </w:rPr>
        <w:t xml:space="preserve">司法部　</w:t>
      </w:r>
      <w:r>
        <w:rPr>
          <w:rFonts w:ascii="Times New Roman" w:hAnsi="Times New Roman" w:eastAsia="宋体" w:cs="Times New Roman"/>
          <w:color w:val="595959"/>
          <w:sz w:val="18"/>
        </w:rPr>
        <w:t>联邦刑事调查：有组织犯罪、公职腐败、恐怖主义、网络与间谍案件。</w:t>
      </w:r>
    </w:p>
    <w:p>
      <w:pPr>
        <w:spacing w:after="60" w:line="324" w:lineRule="auto"/>
        <w:ind w:left="397" w:hanging="397"/>
      </w:pPr>
      <w:r>
        <w:rPr>
          <w:rFonts w:ascii="Times New Roman" w:hAnsi="Times New Roman" w:eastAsia="宋体" w:cs="Times New Roman"/>
          <w:b/>
          <w:color w:val="222222"/>
          <w:sz w:val="18"/>
        </w:rPr>
        <w:t xml:space="preserve">缉毒局（DEA）　</w:t>
      </w:r>
      <w:r>
        <w:rPr>
          <w:rFonts w:ascii="Times New Roman" w:hAnsi="Times New Roman" w:eastAsia="宋体" w:cs="Times New Roman"/>
          <w:color w:val="808080"/>
          <w:sz w:val="17"/>
        </w:rPr>
        <w:t xml:space="preserve">司法部　</w:t>
      </w:r>
      <w:r>
        <w:rPr>
          <w:rFonts w:ascii="Times New Roman" w:hAnsi="Times New Roman" w:eastAsia="宋体" w:cs="Times New Roman"/>
          <w:color w:val="595959"/>
          <w:sz w:val="18"/>
        </w:rPr>
        <w:t>受管制物质的制造、分销与走私；设国内外的地区办公室。</w:t>
      </w:r>
    </w:p>
    <w:p>
      <w:pPr>
        <w:spacing w:after="60" w:line="324" w:lineRule="auto"/>
        <w:ind w:left="397" w:hanging="397"/>
      </w:pPr>
      <w:r>
        <w:rPr>
          <w:rFonts w:ascii="Times New Roman" w:hAnsi="Times New Roman" w:eastAsia="宋体" w:cs="Times New Roman"/>
          <w:b/>
          <w:color w:val="222222"/>
          <w:sz w:val="18"/>
        </w:rPr>
        <w:t xml:space="preserve">烟酒火器与爆炸物管理局（ATF）　</w:t>
      </w:r>
      <w:r>
        <w:rPr>
          <w:rFonts w:ascii="Times New Roman" w:hAnsi="Times New Roman" w:eastAsia="宋体" w:cs="Times New Roman"/>
          <w:color w:val="808080"/>
          <w:sz w:val="17"/>
        </w:rPr>
        <w:t xml:space="preserve">司法部　</w:t>
      </w:r>
      <w:r>
        <w:rPr>
          <w:rFonts w:ascii="Times New Roman" w:hAnsi="Times New Roman" w:eastAsia="宋体" w:cs="Times New Roman"/>
          <w:color w:val="595959"/>
          <w:sz w:val="18"/>
        </w:rPr>
        <w:t>火器、烟草、酒精与爆炸物的许可与执法。</w:t>
      </w:r>
    </w:p>
    <w:p>
      <w:pPr>
        <w:spacing w:after="60" w:line="324" w:lineRule="auto"/>
        <w:ind w:left="397" w:hanging="397"/>
      </w:pPr>
      <w:r>
        <w:rPr>
          <w:rFonts w:ascii="Times New Roman" w:hAnsi="Times New Roman" w:eastAsia="宋体" w:cs="Times New Roman"/>
          <w:b/>
          <w:color w:val="222222"/>
          <w:sz w:val="18"/>
        </w:rPr>
        <w:t xml:space="preserve">联邦法警局（USMS）　</w:t>
      </w:r>
      <w:r>
        <w:rPr>
          <w:rFonts w:ascii="Times New Roman" w:hAnsi="Times New Roman" w:eastAsia="宋体" w:cs="Times New Roman"/>
          <w:color w:val="808080"/>
          <w:sz w:val="17"/>
        </w:rPr>
        <w:t xml:space="preserve">司法部　</w:t>
      </w:r>
      <w:r>
        <w:rPr>
          <w:rFonts w:ascii="Times New Roman" w:hAnsi="Times New Roman" w:eastAsia="宋体" w:cs="Times New Roman"/>
          <w:color w:val="595959"/>
          <w:sz w:val="18"/>
        </w:rPr>
        <w:t>押解被告、追捕逃犯、证人保护、执行联邦法院命令。</w:t>
      </w:r>
    </w:p>
    <w:p>
      <w:pPr>
        <w:spacing w:after="60" w:line="324" w:lineRule="auto"/>
        <w:ind w:left="397" w:hanging="397"/>
      </w:pPr>
      <w:r>
        <w:rPr>
          <w:rFonts w:ascii="Times New Roman" w:hAnsi="Times New Roman" w:eastAsia="宋体" w:cs="Times New Roman"/>
          <w:b/>
          <w:color w:val="222222"/>
          <w:sz w:val="18"/>
        </w:rPr>
        <w:t xml:space="preserve">联邦监狱局（BOP）　</w:t>
      </w:r>
      <w:r>
        <w:rPr>
          <w:rFonts w:ascii="Times New Roman" w:hAnsi="Times New Roman" w:eastAsia="宋体" w:cs="Times New Roman"/>
          <w:color w:val="808080"/>
          <w:sz w:val="17"/>
        </w:rPr>
        <w:t xml:space="preserve">司法部　</w:t>
      </w:r>
      <w:r>
        <w:rPr>
          <w:rFonts w:ascii="Times New Roman" w:hAnsi="Times New Roman" w:eastAsia="宋体" w:cs="Times New Roman"/>
          <w:color w:val="595959"/>
          <w:sz w:val="18"/>
        </w:rPr>
        <w:t>联邦监狱与在押人员管理。</w:t>
      </w:r>
    </w:p>
    <w:p>
      <w:pPr>
        <w:spacing w:after="60" w:line="324" w:lineRule="auto"/>
        <w:ind w:left="397" w:hanging="397"/>
      </w:pPr>
      <w:r>
        <w:rPr>
          <w:rFonts w:ascii="Times New Roman" w:hAnsi="Times New Roman" w:eastAsia="宋体" w:cs="Times New Roman"/>
          <w:b/>
          <w:color w:val="222222"/>
          <w:sz w:val="18"/>
        </w:rPr>
        <w:t xml:space="preserve">移民与海关执法局（ICE）　</w:t>
      </w:r>
      <w:r>
        <w:rPr>
          <w:rFonts w:ascii="Times New Roman" w:hAnsi="Times New Roman" w:eastAsia="宋体" w:cs="Times New Roman"/>
          <w:color w:val="808080"/>
          <w:sz w:val="17"/>
        </w:rPr>
        <w:t xml:space="preserve">国土安全部　</w:t>
      </w:r>
      <w:r>
        <w:rPr>
          <w:rFonts w:ascii="Times New Roman" w:hAnsi="Times New Roman" w:eastAsia="宋体" w:cs="Times New Roman"/>
          <w:color w:val="595959"/>
          <w:sz w:val="18"/>
        </w:rPr>
        <w:t>HSI 负责跨境犯罪调查，ERO 负责遣返与拘押。</w:t>
      </w:r>
    </w:p>
    <w:p>
      <w:pPr>
        <w:spacing w:after="60" w:line="324" w:lineRule="auto"/>
        <w:ind w:left="397" w:hanging="397"/>
      </w:pPr>
      <w:r>
        <w:rPr>
          <w:rFonts w:ascii="Times New Roman" w:hAnsi="Times New Roman" w:eastAsia="宋体" w:cs="Times New Roman"/>
          <w:b/>
          <w:color w:val="222222"/>
          <w:sz w:val="18"/>
        </w:rPr>
        <w:t xml:space="preserve">海关与边境保护局（CBP）　</w:t>
      </w:r>
      <w:r>
        <w:rPr>
          <w:rFonts w:ascii="Times New Roman" w:hAnsi="Times New Roman" w:eastAsia="宋体" w:cs="Times New Roman"/>
          <w:color w:val="808080"/>
          <w:sz w:val="17"/>
        </w:rPr>
        <w:t xml:space="preserve">国土安全部　</w:t>
      </w:r>
      <w:r>
        <w:rPr>
          <w:rFonts w:ascii="Times New Roman" w:hAnsi="Times New Roman" w:eastAsia="宋体" w:cs="Times New Roman"/>
          <w:color w:val="595959"/>
          <w:sz w:val="18"/>
        </w:rPr>
        <w:t>口岸检查、边境巡逻与关税执法。</w:t>
      </w:r>
    </w:p>
    <w:p>
      <w:pPr>
        <w:spacing w:after="60" w:line="324" w:lineRule="auto"/>
        <w:ind w:left="397" w:hanging="397"/>
      </w:pPr>
      <w:r>
        <w:rPr>
          <w:rFonts w:ascii="Times New Roman" w:hAnsi="Times New Roman" w:eastAsia="宋体" w:cs="Times New Roman"/>
          <w:b/>
          <w:color w:val="222222"/>
          <w:sz w:val="18"/>
        </w:rPr>
        <w:t xml:space="preserve">特勤局（USSS）　</w:t>
      </w:r>
      <w:r>
        <w:rPr>
          <w:rFonts w:ascii="Times New Roman" w:hAnsi="Times New Roman" w:eastAsia="宋体" w:cs="Times New Roman"/>
          <w:color w:val="808080"/>
          <w:sz w:val="17"/>
        </w:rPr>
        <w:t xml:space="preserve">国土安全部　</w:t>
      </w:r>
      <w:r>
        <w:rPr>
          <w:rFonts w:ascii="Times New Roman" w:hAnsi="Times New Roman" w:eastAsia="宋体" w:cs="Times New Roman"/>
          <w:color w:val="595959"/>
          <w:sz w:val="18"/>
        </w:rPr>
        <w:t>总统与要人保护、金融犯罪（伪钞、网络欺诈）调查。</w:t>
      </w:r>
    </w:p>
    <w:p>
      <w:pPr>
        <w:spacing w:after="60" w:line="324" w:lineRule="auto"/>
        <w:ind w:left="397" w:hanging="397"/>
      </w:pPr>
      <w:r>
        <w:rPr>
          <w:rFonts w:ascii="Times New Roman" w:hAnsi="Times New Roman" w:eastAsia="宋体" w:cs="Times New Roman"/>
          <w:b/>
          <w:color w:val="222222"/>
          <w:sz w:val="18"/>
        </w:rPr>
        <w:t xml:space="preserve">运输安全管理局（TSA）　</w:t>
      </w:r>
      <w:r>
        <w:rPr>
          <w:rFonts w:ascii="Times New Roman" w:hAnsi="Times New Roman" w:eastAsia="宋体" w:cs="Times New Roman"/>
          <w:color w:val="808080"/>
          <w:sz w:val="17"/>
        </w:rPr>
        <w:t xml:space="preserve">国土安全部　</w:t>
      </w:r>
      <w:r>
        <w:rPr>
          <w:rFonts w:ascii="Times New Roman" w:hAnsi="Times New Roman" w:eastAsia="宋体" w:cs="Times New Roman"/>
          <w:color w:val="595959"/>
          <w:sz w:val="18"/>
        </w:rPr>
        <w:t>航空与公共交通安检。</w:t>
      </w:r>
    </w:p>
    <w:p>
      <w:pPr>
        <w:spacing w:after="60" w:line="324" w:lineRule="auto"/>
        <w:ind w:left="397" w:hanging="397"/>
      </w:pPr>
      <w:r>
        <w:rPr>
          <w:rFonts w:ascii="Times New Roman" w:hAnsi="Times New Roman" w:eastAsia="宋体" w:cs="Times New Roman"/>
          <w:b/>
          <w:color w:val="222222"/>
          <w:sz w:val="18"/>
        </w:rPr>
        <w:t xml:space="preserve">海岸警卫队（USCG）　</w:t>
      </w:r>
      <w:r>
        <w:rPr>
          <w:rFonts w:ascii="Times New Roman" w:hAnsi="Times New Roman" w:eastAsia="宋体" w:cs="Times New Roman"/>
          <w:color w:val="808080"/>
          <w:sz w:val="17"/>
        </w:rPr>
        <w:t xml:space="preserve">国土安全部　</w:t>
      </w:r>
      <w:r>
        <w:rPr>
          <w:rFonts w:ascii="Times New Roman" w:hAnsi="Times New Roman" w:eastAsia="宋体" w:cs="Times New Roman"/>
          <w:color w:val="595959"/>
          <w:sz w:val="18"/>
        </w:rPr>
        <w:t>海上执法、搜救与海事安全；战时归海军指挥。</w:t>
      </w:r>
    </w:p>
    <w:p>
      <w:pPr>
        <w:spacing w:after="60" w:line="324" w:lineRule="auto"/>
        <w:ind w:left="397" w:hanging="397"/>
      </w:pPr>
      <w:r>
        <w:rPr>
          <w:rFonts w:ascii="Times New Roman" w:hAnsi="Times New Roman" w:eastAsia="宋体" w:cs="Times New Roman"/>
          <w:b/>
          <w:color w:val="222222"/>
          <w:sz w:val="18"/>
        </w:rPr>
        <w:t xml:space="preserve">国税局刑事调查（IRS-CI）　</w:t>
      </w:r>
      <w:r>
        <w:rPr>
          <w:rFonts w:ascii="Times New Roman" w:hAnsi="Times New Roman" w:eastAsia="宋体" w:cs="Times New Roman"/>
          <w:color w:val="808080"/>
          <w:sz w:val="17"/>
        </w:rPr>
        <w:t xml:space="preserve">财政部　</w:t>
      </w:r>
      <w:r>
        <w:rPr>
          <w:rFonts w:ascii="Times New Roman" w:hAnsi="Times New Roman" w:eastAsia="宋体" w:cs="Times New Roman"/>
          <w:color w:val="595959"/>
          <w:sz w:val="18"/>
        </w:rPr>
        <w:t>税务欺诈、洗钱与相关金融犯罪。</w:t>
      </w:r>
    </w:p>
    <w:p>
      <w:pPr>
        <w:spacing w:after="60" w:line="324" w:lineRule="auto"/>
        <w:ind w:left="397" w:hanging="397"/>
      </w:pPr>
      <w:r>
        <w:rPr>
          <w:rFonts w:ascii="Times New Roman" w:hAnsi="Times New Roman" w:eastAsia="宋体" w:cs="Times New Roman"/>
          <w:b/>
          <w:color w:val="222222"/>
          <w:sz w:val="18"/>
        </w:rPr>
        <w:t xml:space="preserve">州与地方（State &amp; Local）　</w:t>
      </w:r>
      <w:r>
        <w:rPr>
          <w:rFonts w:ascii="Times New Roman" w:hAnsi="Times New Roman" w:eastAsia="宋体" w:cs="Times New Roman"/>
          <w:color w:val="808080"/>
          <w:sz w:val="17"/>
        </w:rPr>
        <w:t xml:space="preserve">州／县／市　</w:t>
      </w:r>
      <w:r>
        <w:rPr>
          <w:rFonts w:ascii="Times New Roman" w:hAnsi="Times New Roman" w:eastAsia="宋体" w:cs="Times New Roman"/>
          <w:color w:val="595959"/>
          <w:sz w:val="18"/>
        </w:rPr>
        <w:t>州警、县治安官、市警察局及学区、交通等专门机构。</w:t>
      </w:r>
    </w:p>
    <w:p>
      <w:pPr>
        <w:pBdr>
          <w:bottom w:val="single" w:sz="6" w:space="6" w:color="1F3864"/>
        </w:pBdr>
        <w:spacing w:before="440" w:after="80"/>
      </w:pPr>
      <w:r>
        <w:rPr>
          <w:rFonts w:ascii="黑体" w:hAnsi="黑体" w:eastAsia="黑体" w:cs="黑体"/>
          <w:b/>
          <w:color w:val="1F3864"/>
          <w:sz w:val="28"/>
        </w:rPr>
        <w:t>执法体制大事年表</w:t>
      </w:r>
    </w:p>
    <w:p>
      <w:pPr>
        <w:spacing w:after="200"/>
      </w:pPr>
      <w:r>
        <w:rPr>
          <w:rFonts w:ascii="Times New Roman" w:hAnsi="Times New Roman" w:eastAsia="宋体" w:cs="Times New Roman"/>
          <w:color w:val="808080"/>
          <w:sz w:val="17"/>
        </w:rPr>
        <w:t>Chronology, 1789-2020</w:t>
      </w:r>
    </w:p>
    <w:p>
      <w:pPr>
        <w:spacing w:after="60" w:line="300" w:lineRule="auto"/>
        <w:ind w:left="879" w:hanging="879"/>
      </w:pPr>
      <w:r>
        <w:rPr>
          <w:rFonts w:ascii="Times New Roman" w:hAnsi="Times New Roman" w:eastAsia="宋体" w:cs="Times New Roman"/>
          <w:b/>
          <w:color w:val="1F3864"/>
          <w:sz w:val="18"/>
        </w:rPr>
        <w:t xml:space="preserve">1789　</w:t>
      </w:r>
      <w:r>
        <w:rPr>
          <w:rFonts w:ascii="Times New Roman" w:hAnsi="Times New Roman" w:eastAsia="宋体" w:cs="Times New Roman"/>
          <w:color w:val="222222"/>
          <w:sz w:val="18"/>
        </w:rPr>
        <w:t>《司法法》设立联邦法警，联邦执法体系起步。</w:t>
      </w:r>
    </w:p>
    <w:p>
      <w:pPr>
        <w:spacing w:after="60" w:line="300" w:lineRule="auto"/>
        <w:ind w:left="879" w:hanging="879"/>
      </w:pPr>
      <w:r>
        <w:rPr>
          <w:rFonts w:ascii="Times New Roman" w:hAnsi="Times New Roman" w:eastAsia="宋体" w:cs="Times New Roman"/>
          <w:b/>
          <w:color w:val="1F3864"/>
          <w:sz w:val="18"/>
        </w:rPr>
        <w:t xml:space="preserve">1878　</w:t>
      </w:r>
      <w:r>
        <w:rPr>
          <w:rFonts w:ascii="Times New Roman" w:hAnsi="Times New Roman" w:eastAsia="宋体" w:cs="Times New Roman"/>
          <w:color w:val="222222"/>
          <w:sz w:val="18"/>
        </w:rPr>
        <w:t>《地方保安队法》限制军队参与国内执法。</w:t>
      </w:r>
    </w:p>
    <w:p>
      <w:pPr>
        <w:spacing w:after="60" w:line="300" w:lineRule="auto"/>
        <w:ind w:left="879" w:hanging="879"/>
      </w:pPr>
      <w:r>
        <w:rPr>
          <w:rFonts w:ascii="Times New Roman" w:hAnsi="Times New Roman" w:eastAsia="宋体" w:cs="Times New Roman"/>
          <w:b/>
          <w:color w:val="1F3864"/>
          <w:sz w:val="18"/>
        </w:rPr>
        <w:t xml:space="preserve">1908　</w:t>
      </w:r>
      <w:r>
        <w:rPr>
          <w:rFonts w:ascii="Times New Roman" w:hAnsi="Times New Roman" w:eastAsia="宋体" w:cs="Times New Roman"/>
          <w:color w:val="222222"/>
          <w:sz w:val="18"/>
        </w:rPr>
        <w:t>司法部长设立“调查局”（BOI），即 FBI 前身。</w:t>
      </w:r>
    </w:p>
    <w:p>
      <w:pPr>
        <w:spacing w:after="60" w:line="300" w:lineRule="auto"/>
        <w:ind w:left="879" w:hanging="879"/>
      </w:pPr>
      <w:r>
        <w:rPr>
          <w:rFonts w:ascii="Times New Roman" w:hAnsi="Times New Roman" w:eastAsia="宋体" w:cs="Times New Roman"/>
          <w:b/>
          <w:color w:val="1F3864"/>
          <w:sz w:val="18"/>
        </w:rPr>
        <w:t xml:space="preserve">1935　</w:t>
      </w:r>
      <w:r>
        <w:rPr>
          <w:rFonts w:ascii="Times New Roman" w:hAnsi="Times New Roman" w:eastAsia="宋体" w:cs="Times New Roman"/>
          <w:color w:val="222222"/>
          <w:sz w:val="18"/>
        </w:rPr>
        <w:t>调查局改名“联邦调查局”。</w:t>
      </w:r>
    </w:p>
    <w:p>
      <w:pPr>
        <w:spacing w:after="60" w:line="300" w:lineRule="auto"/>
        <w:ind w:left="879" w:hanging="879"/>
      </w:pPr>
      <w:r>
        <w:rPr>
          <w:rFonts w:ascii="Times New Roman" w:hAnsi="Times New Roman" w:eastAsia="宋体" w:cs="Times New Roman"/>
          <w:b/>
          <w:color w:val="1F3864"/>
          <w:sz w:val="18"/>
        </w:rPr>
        <w:t xml:space="preserve">1966　</w:t>
      </w:r>
      <w:r>
        <w:rPr>
          <w:rFonts w:ascii="Times New Roman" w:hAnsi="Times New Roman" w:eastAsia="宋体" w:cs="Times New Roman"/>
          <w:color w:val="222222"/>
          <w:sz w:val="18"/>
        </w:rPr>
        <w:t>米兰达案：羁押讯问前的权利告知。</w:t>
      </w:r>
    </w:p>
    <w:p>
      <w:pPr>
        <w:spacing w:after="60" w:line="300" w:lineRule="auto"/>
        <w:ind w:left="879" w:hanging="879"/>
      </w:pPr>
      <w:r>
        <w:rPr>
          <w:rFonts w:ascii="Times New Roman" w:hAnsi="Times New Roman" w:eastAsia="宋体" w:cs="Times New Roman"/>
          <w:b/>
          <w:color w:val="1F3864"/>
          <w:sz w:val="18"/>
        </w:rPr>
        <w:t xml:space="preserve">1967　</w:t>
      </w:r>
      <w:r>
        <w:rPr>
          <w:rFonts w:ascii="Times New Roman" w:hAnsi="Times New Roman" w:eastAsia="宋体" w:cs="Times New Roman"/>
          <w:color w:val="222222"/>
          <w:sz w:val="18"/>
        </w:rPr>
        <w:t>Katz 案：监听须取得令状。</w:t>
      </w:r>
    </w:p>
    <w:p>
      <w:pPr>
        <w:spacing w:after="60" w:line="300" w:lineRule="auto"/>
        <w:ind w:left="879" w:hanging="879"/>
      </w:pPr>
      <w:r>
        <w:rPr>
          <w:rFonts w:ascii="Times New Roman" w:hAnsi="Times New Roman" w:eastAsia="宋体" w:cs="Times New Roman"/>
          <w:b/>
          <w:color w:val="1F3864"/>
          <w:sz w:val="18"/>
        </w:rPr>
        <w:t xml:space="preserve">1968　</w:t>
      </w:r>
      <w:r>
        <w:rPr>
          <w:rFonts w:ascii="Times New Roman" w:hAnsi="Times New Roman" w:eastAsia="宋体" w:cs="Times New Roman"/>
          <w:color w:val="222222"/>
          <w:sz w:val="18"/>
        </w:rPr>
        <w:t>Terry 案确立“拦停与拍身搜查”；同年《综合犯罪控制法》第三编规范电子监听。</w:t>
      </w:r>
    </w:p>
    <w:p>
      <w:pPr>
        <w:spacing w:after="60" w:line="300" w:lineRule="auto"/>
        <w:ind w:left="879" w:hanging="879"/>
      </w:pPr>
      <w:r>
        <w:rPr>
          <w:rFonts w:ascii="Times New Roman" w:hAnsi="Times New Roman" w:eastAsia="宋体" w:cs="Times New Roman"/>
          <w:b/>
          <w:color w:val="1F3864"/>
          <w:sz w:val="18"/>
        </w:rPr>
        <w:t xml:space="preserve">1970　</w:t>
      </w:r>
      <w:r>
        <w:rPr>
          <w:rFonts w:ascii="Times New Roman" w:hAnsi="Times New Roman" w:eastAsia="宋体" w:cs="Times New Roman"/>
          <w:color w:val="222222"/>
          <w:sz w:val="18"/>
        </w:rPr>
        <w:t>《受管制物质法》与 RICO 通过。</w:t>
      </w:r>
    </w:p>
    <w:p>
      <w:pPr>
        <w:spacing w:after="60" w:line="300" w:lineRule="auto"/>
        <w:ind w:left="879" w:hanging="879"/>
      </w:pPr>
      <w:r>
        <w:rPr>
          <w:rFonts w:ascii="Times New Roman" w:hAnsi="Times New Roman" w:eastAsia="宋体" w:cs="Times New Roman"/>
          <w:b/>
          <w:color w:val="1F3864"/>
          <w:sz w:val="18"/>
        </w:rPr>
        <w:t xml:space="preserve">1973　</w:t>
      </w:r>
      <w:r>
        <w:rPr>
          <w:rFonts w:ascii="Times New Roman" w:hAnsi="Times New Roman" w:eastAsia="宋体" w:cs="Times New Roman"/>
          <w:color w:val="222222"/>
          <w:sz w:val="18"/>
        </w:rPr>
        <w:t>依重组计划设立缉毒局（DEA）。</w:t>
      </w:r>
    </w:p>
    <w:p>
      <w:pPr>
        <w:spacing w:after="60" w:line="300" w:lineRule="auto"/>
        <w:ind w:left="879" w:hanging="879"/>
      </w:pPr>
      <w:r>
        <w:rPr>
          <w:rFonts w:ascii="Times New Roman" w:hAnsi="Times New Roman" w:eastAsia="宋体" w:cs="Times New Roman"/>
          <w:b/>
          <w:color w:val="1F3864"/>
          <w:sz w:val="18"/>
        </w:rPr>
        <w:t xml:space="preserve">1978　</w:t>
      </w:r>
      <w:r>
        <w:rPr>
          <w:rFonts w:ascii="Times New Roman" w:hAnsi="Times New Roman" w:eastAsia="宋体" w:cs="Times New Roman"/>
          <w:color w:val="222222"/>
          <w:sz w:val="18"/>
        </w:rPr>
        <w:t>《外国情报监视法》（FISA）设立秘密法庭。</w:t>
      </w:r>
    </w:p>
    <w:p>
      <w:pPr>
        <w:spacing w:after="60" w:line="300" w:lineRule="auto"/>
        <w:ind w:left="879" w:hanging="879"/>
      </w:pPr>
      <w:r>
        <w:rPr>
          <w:rFonts w:ascii="Times New Roman" w:hAnsi="Times New Roman" w:eastAsia="宋体" w:cs="Times New Roman"/>
          <w:b/>
          <w:color w:val="1F3864"/>
          <w:sz w:val="18"/>
        </w:rPr>
        <w:t xml:space="preserve">1984　</w:t>
      </w:r>
      <w:r>
        <w:rPr>
          <w:rFonts w:ascii="Times New Roman" w:hAnsi="Times New Roman" w:eastAsia="宋体" w:cs="Times New Roman"/>
          <w:color w:val="222222"/>
          <w:sz w:val="18"/>
        </w:rPr>
        <w:t>Leon 案：搜查令的“善意例外”。</w:t>
      </w:r>
    </w:p>
    <w:p>
      <w:pPr>
        <w:spacing w:after="60" w:line="300" w:lineRule="auto"/>
        <w:ind w:left="879" w:hanging="879"/>
      </w:pPr>
      <w:r>
        <w:rPr>
          <w:rFonts w:ascii="Times New Roman" w:hAnsi="Times New Roman" w:eastAsia="宋体" w:cs="Times New Roman"/>
          <w:b/>
          <w:color w:val="1F3864"/>
          <w:sz w:val="18"/>
        </w:rPr>
        <w:t xml:space="preserve">1985　</w:t>
      </w:r>
      <w:r>
        <w:rPr>
          <w:rFonts w:ascii="Times New Roman" w:hAnsi="Times New Roman" w:eastAsia="宋体" w:cs="Times New Roman"/>
          <w:color w:val="222222"/>
          <w:sz w:val="18"/>
        </w:rPr>
        <w:t>Garner 案：限制对逃跑嫌疑人使用致命武力。</w:t>
      </w:r>
    </w:p>
    <w:p>
      <w:pPr>
        <w:spacing w:after="60" w:line="300" w:lineRule="auto"/>
        <w:ind w:left="879" w:hanging="879"/>
      </w:pPr>
      <w:r>
        <w:rPr>
          <w:rFonts w:ascii="Times New Roman" w:hAnsi="Times New Roman" w:eastAsia="宋体" w:cs="Times New Roman"/>
          <w:b/>
          <w:color w:val="1F3864"/>
          <w:sz w:val="18"/>
        </w:rPr>
        <w:t xml:space="preserve">1989　</w:t>
      </w:r>
      <w:r>
        <w:rPr>
          <w:rFonts w:ascii="Times New Roman" w:hAnsi="Times New Roman" w:eastAsia="宋体" w:cs="Times New Roman"/>
          <w:color w:val="222222"/>
          <w:sz w:val="18"/>
        </w:rPr>
        <w:t>Graham 案：武力是否过度依“客观合理性”判断。</w:t>
      </w:r>
    </w:p>
    <w:p>
      <w:pPr>
        <w:spacing w:after="60" w:line="300" w:lineRule="auto"/>
        <w:ind w:left="879" w:hanging="879"/>
      </w:pPr>
      <w:r>
        <w:rPr>
          <w:rFonts w:ascii="Times New Roman" w:hAnsi="Times New Roman" w:eastAsia="宋体" w:cs="Times New Roman"/>
          <w:b/>
          <w:color w:val="1F3864"/>
          <w:sz w:val="18"/>
        </w:rPr>
        <w:t xml:space="preserve">1994　</w:t>
      </w:r>
      <w:r>
        <w:rPr>
          <w:rFonts w:ascii="Times New Roman" w:hAnsi="Times New Roman" w:eastAsia="宋体" w:cs="Times New Roman"/>
          <w:color w:val="222222"/>
          <w:sz w:val="18"/>
        </w:rPr>
        <w:t>34 U.S.C. § 12601（原 42 U.S.C. § 14141）授权司法部起诉“一贯做法”式的执法侵权。</w:t>
      </w:r>
    </w:p>
    <w:p>
      <w:pPr>
        <w:spacing w:after="60" w:line="300" w:lineRule="auto"/>
        <w:ind w:left="879" w:hanging="879"/>
      </w:pPr>
      <w:r>
        <w:rPr>
          <w:rFonts w:ascii="Times New Roman" w:hAnsi="Times New Roman" w:eastAsia="宋体" w:cs="Times New Roman"/>
          <w:b/>
          <w:color w:val="1F3864"/>
          <w:sz w:val="18"/>
        </w:rPr>
        <w:t xml:space="preserve">1996　</w:t>
      </w:r>
      <w:r>
        <w:rPr>
          <w:rFonts w:ascii="Times New Roman" w:hAnsi="Times New Roman" w:eastAsia="宋体" w:cs="Times New Roman"/>
          <w:color w:val="222222"/>
          <w:sz w:val="18"/>
        </w:rPr>
        <w:t>Whren 案：客观违章即可拦停，主观动机不影响合宪性。</w:t>
      </w:r>
    </w:p>
    <w:p>
      <w:pPr>
        <w:spacing w:after="60" w:line="300" w:lineRule="auto"/>
        <w:ind w:left="879" w:hanging="879"/>
      </w:pPr>
      <w:r>
        <w:rPr>
          <w:rFonts w:ascii="Times New Roman" w:hAnsi="Times New Roman" w:eastAsia="宋体" w:cs="Times New Roman"/>
          <w:b/>
          <w:color w:val="1F3864"/>
          <w:sz w:val="18"/>
        </w:rPr>
        <w:t xml:space="preserve">2001　</w:t>
      </w:r>
      <w:r>
        <w:rPr>
          <w:rFonts w:ascii="Times New Roman" w:hAnsi="Times New Roman" w:eastAsia="宋体" w:cs="Times New Roman"/>
          <w:color w:val="222222"/>
          <w:sz w:val="18"/>
        </w:rPr>
        <w:t>《爱国者法》扩大情报与执法机关的数据调取权。</w:t>
      </w:r>
    </w:p>
    <w:p>
      <w:pPr>
        <w:spacing w:after="60" w:line="300" w:lineRule="auto"/>
        <w:ind w:left="879" w:hanging="879"/>
      </w:pPr>
      <w:r>
        <w:rPr>
          <w:rFonts w:ascii="Times New Roman" w:hAnsi="Times New Roman" w:eastAsia="宋体" w:cs="Times New Roman"/>
          <w:b/>
          <w:color w:val="1F3864"/>
          <w:sz w:val="18"/>
        </w:rPr>
        <w:t xml:space="preserve">2003　</w:t>
      </w:r>
      <w:r>
        <w:rPr>
          <w:rFonts w:ascii="Times New Roman" w:hAnsi="Times New Roman" w:eastAsia="宋体" w:cs="Times New Roman"/>
          <w:color w:val="222222"/>
          <w:sz w:val="18"/>
        </w:rPr>
        <w:t>国土安全部成立，ICE、CBP、TSA 等机构整合。</w:t>
      </w:r>
    </w:p>
    <w:p>
      <w:pPr>
        <w:spacing w:after="60" w:line="300" w:lineRule="auto"/>
        <w:ind w:left="879" w:hanging="879"/>
      </w:pPr>
      <w:r>
        <w:rPr>
          <w:rFonts w:ascii="Times New Roman" w:hAnsi="Times New Roman" w:eastAsia="宋体" w:cs="Times New Roman"/>
          <w:b/>
          <w:color w:val="1F3864"/>
          <w:sz w:val="18"/>
        </w:rPr>
        <w:t xml:space="preserve">2014　</w:t>
      </w:r>
      <w:r>
        <w:rPr>
          <w:rFonts w:ascii="Times New Roman" w:hAnsi="Times New Roman" w:eastAsia="宋体" w:cs="Times New Roman"/>
          <w:color w:val="222222"/>
          <w:sz w:val="18"/>
        </w:rPr>
        <w:t>Riley 案：逮捕后搜查手机原则上须有令状。</w:t>
      </w:r>
    </w:p>
    <w:p>
      <w:pPr>
        <w:spacing w:after="60" w:line="300" w:lineRule="auto"/>
        <w:ind w:left="879" w:hanging="879"/>
      </w:pPr>
      <w:r>
        <w:rPr>
          <w:rFonts w:ascii="Times New Roman" w:hAnsi="Times New Roman" w:eastAsia="宋体" w:cs="Times New Roman"/>
          <w:b/>
          <w:color w:val="1F3864"/>
          <w:sz w:val="18"/>
        </w:rPr>
        <w:t xml:space="preserve">2018　</w:t>
      </w:r>
      <w:r>
        <w:rPr>
          <w:rFonts w:ascii="Times New Roman" w:hAnsi="Times New Roman" w:eastAsia="宋体" w:cs="Times New Roman"/>
          <w:color w:val="222222"/>
          <w:sz w:val="18"/>
        </w:rPr>
        <w:t>Carpenter 案：长期基站位置信息须有令状。</w:t>
      </w:r>
    </w:p>
    <w:p>
      <w:pPr>
        <w:spacing w:after="60" w:line="300" w:lineRule="auto"/>
        <w:ind w:left="879" w:hanging="879"/>
      </w:pPr>
      <w:r>
        <w:rPr>
          <w:rFonts w:ascii="Times New Roman" w:hAnsi="Times New Roman" w:eastAsia="宋体" w:cs="Times New Roman"/>
          <w:b/>
          <w:color w:val="1F3864"/>
          <w:sz w:val="18"/>
        </w:rPr>
        <w:t xml:space="preserve">2020　</w:t>
      </w:r>
      <w:r>
        <w:rPr>
          <w:rFonts w:ascii="Times New Roman" w:hAnsi="Times New Roman" w:eastAsia="宋体" w:cs="Times New Roman"/>
          <w:color w:val="222222"/>
          <w:sz w:val="18"/>
        </w:rPr>
        <w:t>弗洛伊德事件后，多地通过警务改革立法。</w:t>
      </w:r>
    </w:p>
    <w:p>
      <w:pPr>
        <w:pBdr>
          <w:bottom w:val="single" w:sz="4" w:space="6" w:color="BFBFBF"/>
        </w:pBdr>
        <w:spacing w:before="1280" w:after="280"/>
      </w:pPr>
      <w:r>
        <w:rPr>
          <w:rFonts w:ascii="Times New Roman" w:hAnsi="Times New Roman" w:eastAsia="宋体" w:cs="Times New Roman"/>
          <w:sz w:val="4"/>
        </w:rPr>
      </w:r>
    </w:p>
    <w:p>
      <w:pPr>
        <w:keepNext/>
        <w:spacing w:after="160"/>
        <w:jc w:val="center"/>
      </w:pPr>
      <w:r>
        <w:rPr>
          <w:rFonts w:ascii="Times New Roman" w:hAnsi="Times New Roman" w:eastAsia="宋体" w:cs="Times New Roman"/>
          <w:color w:val="595959"/>
          <w:spacing w:val="100"/>
          <w:sz w:val="19"/>
        </w:rPr>
        <w:t>上编</w:t>
      </w:r>
    </w:p>
    <w:p>
      <w:pPr>
        <w:keepNext/>
        <w:spacing w:before="0" w:after="160"/>
        <w:jc w:val="center"/>
      </w:pPr>
      <w:r>
        <w:rPr>
          <w:rFonts w:ascii="黑体" w:hAnsi="黑体" w:eastAsia="黑体" w:cs="黑体"/>
          <w:b/>
          <w:color w:val="1F3864"/>
          <w:sz w:val="44"/>
        </w:rPr>
        <w:t>授权与限制</w:t>
      </w:r>
    </w:p>
    <w:p>
      <w:pPr>
        <w:keepNext/>
        <w:spacing w:after="200"/>
        <w:jc w:val="center"/>
      </w:pPr>
      <w:r>
        <w:rPr>
          <w:rFonts w:ascii="Times New Roman" w:hAnsi="Times New Roman" w:eastAsia="宋体" w:cs="Times New Roman"/>
          <w:color w:val="595959"/>
          <w:sz w:val="21"/>
        </w:rPr>
        <w:t>Statutes: Powers and Limits</w:t>
      </w:r>
    </w:p>
    <w:p>
      <w:pPr>
        <w:spacing w:before="160"/>
        <w:jc w:val="center"/>
      </w:pPr>
      <w:r>
        <w:rPr>
          <w:rFonts w:ascii="Times New Roman" w:hAnsi="Times New Roman" w:eastAsia="宋体" w:cs="Times New Roman"/>
          <w:color w:val="808080"/>
          <w:sz w:val="19"/>
        </w:rPr>
        <w:t>六部法律：从军队不得对内执法，到监听、毒品与情报调取</w:t>
      </w:r>
    </w:p>
    <w:p>
      <w:pPr>
        <w:keepNext/>
        <w:spacing w:before="400" w:after="40"/>
      </w:pPr>
      <w:r>
        <w:rPr>
          <w:rFonts w:ascii="黑体" w:hAnsi="黑体" w:eastAsia="黑体" w:cs="黑体"/>
          <w:b/>
          <w:color w:val="1F3864"/>
          <w:sz w:val="26"/>
        </w:rPr>
        <w:t>《地方保安队法》</w:t>
      </w:r>
    </w:p>
    <w:p>
      <w:pPr>
        <w:keepNext/>
        <w:spacing w:after="60"/>
      </w:pPr>
      <w:r>
        <w:rPr>
          <w:rFonts w:ascii="Times New Roman" w:hAnsi="Times New Roman" w:eastAsia="宋体" w:cs="Times New Roman"/>
          <w:color w:val="595959"/>
          <w:sz w:val="18"/>
        </w:rPr>
        <w:t>Posse Comitatus Act (1878), 18 U.S.C. § 1385</w:t>
      </w:r>
    </w:p>
    <w:p>
      <w:pPr>
        <w:keepNext/>
        <w:spacing w:after="160"/>
      </w:pPr>
      <w:r>
        <w:rPr>
          <w:rFonts w:ascii="Times New Roman" w:hAnsi="Times New Roman" w:eastAsia="宋体" w:cs="Times New Roman"/>
          <w:color w:val="808080"/>
          <w:sz w:val="16"/>
        </w:rPr>
        <w:t>1878 年 6 月 18 日 · 现行编纂 18 U.S.C. § 1385（2021 年修正）</w:t>
      </w:r>
    </w:p>
    <w:p>
      <w:pPr>
        <w:keepNext/>
        <w:spacing w:after="120" w:line="336" w:lineRule="auto"/>
        <w:jc w:val="both"/>
      </w:pPr>
      <w:r>
        <w:rPr>
          <w:rFonts w:ascii="Times New Roman" w:hAnsi="Times New Roman" w:eastAsia="宋体" w:cs="Times New Roman"/>
          <w:color w:val="222222"/>
          <w:sz w:val="19"/>
        </w:rPr>
        <w:t>重建时期联邦军队在南方的执法角色引发争议，国会遂以本法限制军队介入国内执法：除宪法或国会立法明确授权，不得把陆军或空军用作“地方保安队”执行法律。2021 年的修正把适用范围扩大到海军、海军陆战队与太空军。它是“军队不对内执法”这一原则的成文化表达，但《叛乱法》等例外仍然存在。</w:t>
      </w:r>
    </w:p>
    <w:p>
      <w:pPr>
        <w:keepNext/>
        <w:spacing w:before="80" w:after="40"/>
      </w:pPr>
      <w:r>
        <w:rPr>
          <w:rFonts w:ascii="Times New Roman" w:hAnsi="Times New Roman" w:eastAsia="宋体" w:cs="Times New Roman"/>
          <w:color w:val="808080"/>
          <w:spacing w:val="30"/>
          <w:sz w:val="16"/>
        </w:rPr>
        <w:t>条文原文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Whoever, except in cases and under circumstances expressly authorized by the Constitution or Act of Congress, willfully uses any part of the Army, the Navy, the Marine Corps, the Air Force, or the Space Force as a posse comitatus or otherwise to execute the laws shall be fined under this title or imprisoned not more than two years, or both.</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任何人在并非宪法或国会法案明文授权的案件和情形下，故意将陆军、海军、海军陆战队、空军或太空军的任何部分用作地方武装队（posse comitatus），或以其他方式用以执行法律，应依本编处以罚金，或处二年以下监禁，或二者并罚。</w:t>
      </w:r>
      <w:r>
        <w:br/>
      </w:r>
      <w:r>
        <w:rPr>
          <w:rFonts w:ascii="Times New Roman" w:hAnsi="Times New Roman" w:eastAsia="宋体" w:cs="Times New Roman"/>
          <w:color w:val="808080"/>
          <w:sz w:val="15"/>
        </w:rPr>
        <w:t>来源：https://www.law.cornell.edu/uscode/text/18/1385</w:t>
      </w:r>
    </w:p>
    <w:p>
      <w:pPr>
        <w:keepNext/>
        <w:spacing w:before="400" w:after="40"/>
      </w:pPr>
      <w:r>
        <w:rPr>
          <w:rFonts w:ascii="黑体" w:hAnsi="黑体" w:eastAsia="黑体" w:cs="黑体"/>
          <w:b/>
          <w:color w:val="1F3864"/>
          <w:sz w:val="26"/>
        </w:rPr>
        <w:t>《以法律为名剥夺权利罪》</w:t>
      </w:r>
    </w:p>
    <w:p>
      <w:pPr>
        <w:keepNext/>
        <w:spacing w:after="60"/>
      </w:pPr>
      <w:r>
        <w:rPr>
          <w:rFonts w:ascii="Times New Roman" w:hAnsi="Times New Roman" w:eastAsia="宋体" w:cs="Times New Roman"/>
          <w:color w:val="595959"/>
          <w:sz w:val="18"/>
        </w:rPr>
        <w:t>Deprivation of Rights Under Color of Law, 18 U.S.C. § 242</w:t>
      </w:r>
    </w:p>
    <w:p>
      <w:pPr>
        <w:keepNext/>
        <w:spacing w:after="160"/>
      </w:pPr>
      <w:r>
        <w:rPr>
          <w:rFonts w:ascii="Times New Roman" w:hAnsi="Times New Roman" w:eastAsia="宋体" w:cs="Times New Roman"/>
          <w:color w:val="808080"/>
          <w:sz w:val="16"/>
        </w:rPr>
        <w:t>源自 1866 年民权法 · 现行编纂 18 U.S.C. § 242</w:t>
      </w:r>
    </w:p>
    <w:p>
      <w:pPr>
        <w:keepNext w:val="0"/>
        <w:spacing w:after="120" w:line="336" w:lineRule="auto"/>
        <w:jc w:val="both"/>
      </w:pPr>
      <w:r>
        <w:rPr>
          <w:rFonts w:ascii="Times New Roman" w:hAnsi="Times New Roman" w:eastAsia="宋体" w:cs="Times New Roman"/>
          <w:color w:val="222222"/>
          <w:sz w:val="19"/>
        </w:rPr>
        <w:t>禁止“以任何法律、法令、条例、习惯或惯例为名”，故意剥夺他人受宪法或联邦法律保障的权利。它是联邦起诉执法暴力（如滥用武力）的主要刑事条文，须证明“故意”；“以法律为名”不限于正式警察，任何行使公权力外观的人都可能适用。</w:t>
      </w:r>
    </w:p>
    <w:p>
      <w:pPr>
        <w:keepNext/>
        <w:spacing w:before="80" w:after="40"/>
      </w:pPr>
      <w:r>
        <w:rPr>
          <w:rFonts w:ascii="Times New Roman" w:hAnsi="Times New Roman" w:eastAsia="宋体" w:cs="Times New Roman"/>
          <w:color w:val="808080"/>
          <w:spacing w:val="30"/>
          <w:sz w:val="16"/>
        </w:rPr>
        <w:t>条文原文 / ORIGINAL TEXT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Whoever, under color of any law, statute, ordinance, regulation, or custom, willfully subjects any person in any State, Territory, Commonwealth, Possession, or District to the deprivation of any rights, privileges, or immunities secured or protected by the Constitution or laws of the United States, or to different punishments, pains, or penalties, on account of such person being an alien, or by reason of his color, or race, than are prescribed for the punishment of citizens, shall be fined under this title or imprisoned not more than one year, or both; and if bodily injury results from the acts committed in violation of this section or if such acts include the use, attempted use, or threatened use of a dangerous weapon, explosives, or fire, shall be fined under this title or imprisoned not more than ten years, or both; and if death results from the acts committed in violation of this section or if such acts include kidnapping or an attempt to kidnap, aggravated sexual abuse, or an attempt to commit aggravated sexual abuse, or an attempt to kill, shall be fined under this title, or imprisoned for any term of years or for life, or both, or may be sentenced to death.</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任何人以任何法律、法规、条例、规章或惯例为名（依法律授权），故意使任何州、领地、联邦属地、海外属地或特区内的任何人被剥夺宪法或美国法律所保障或保护的任何权利、特权或豁免，或因其为外国人，或因其肤色或种族，而使其受到与公民所受刑罚不同的刑罚、痛苦或处罚，应依本编处以罚金，或处一年以下监禁，或二者并罚；如违反本条的行为造成身体伤害，或该行为包含使用、试图使用或威胁使用危险武器、爆炸物或火，应依本编处以罚金，或处十年以下监禁，或二者并罚；如违反本条的行为造成死亡，或该行为包含绑架或企图绑架、加重性虐待或企图实施加重性虐待、或企图杀人，应依本编处以罚金，或处任何年限监禁或终身监禁，或二者并罚，或可判处死刑。</w:t>
      </w:r>
      <w:r>
        <w:br/>
      </w:r>
      <w:r>
        <w:rPr>
          <w:rFonts w:ascii="Times New Roman" w:hAnsi="Times New Roman" w:eastAsia="宋体" w:cs="Times New Roman"/>
          <w:color w:val="808080"/>
          <w:sz w:val="15"/>
        </w:rPr>
        <w:t>来源：https://www.law.cornell.edu/uscode/text/18/242</w:t>
      </w:r>
    </w:p>
    <w:p>
      <w:pPr>
        <w:keepNext/>
        <w:spacing w:before="400" w:after="40"/>
      </w:pPr>
      <w:r>
        <w:rPr>
          <w:rFonts w:ascii="黑体" w:hAnsi="黑体" w:eastAsia="黑体" w:cs="黑体"/>
          <w:b/>
          <w:color w:val="1F3864"/>
          <w:sz w:val="26"/>
        </w:rPr>
        <w:t>《执法机关一贯做法条款》</w:t>
      </w:r>
    </w:p>
    <w:p>
      <w:pPr>
        <w:keepNext/>
        <w:spacing w:after="60"/>
      </w:pPr>
      <w:r>
        <w:rPr>
          <w:rFonts w:ascii="Times New Roman" w:hAnsi="Times New Roman" w:eastAsia="宋体" w:cs="Times New Roman"/>
          <w:color w:val="595959"/>
          <w:sz w:val="18"/>
        </w:rPr>
        <w:t>Pattern or Practice of Conduct by Law Enforcement Officers, 34 U.S.C. § 12601</w:t>
      </w:r>
    </w:p>
    <w:p>
      <w:pPr>
        <w:keepNext/>
        <w:spacing w:after="160"/>
      </w:pPr>
      <w:r>
        <w:rPr>
          <w:rFonts w:ascii="Times New Roman" w:hAnsi="Times New Roman" w:eastAsia="宋体" w:cs="Times New Roman"/>
          <w:color w:val="808080"/>
          <w:sz w:val="16"/>
        </w:rPr>
        <w:t>1994 年 9 月 13 日 · 现编纂 34 U.S.C. § 12601（原 42 U.S.C. § 14141）</w:t>
      </w:r>
    </w:p>
    <w:p>
      <w:pPr>
        <w:keepNext w:val="0"/>
        <w:spacing w:after="120" w:line="336" w:lineRule="auto"/>
        <w:jc w:val="both"/>
      </w:pPr>
      <w:r>
        <w:rPr>
          <w:rFonts w:ascii="Times New Roman" w:hAnsi="Times New Roman" w:eastAsia="宋体" w:cs="Times New Roman"/>
          <w:color w:val="222222"/>
          <w:sz w:val="19"/>
        </w:rPr>
        <w:t>授权司法部长对存在“一贯做法或惯例”剥夺宪法权利的警察机关提起民事诉讼，寻求禁令与改革方案（同意令，consent decree）。该条原列为 42 U.S.C. § 14141，后随法典编纂移入第 34 编。它是联邦介入地方警务的主要民事工具，1990 年代以来多起大城市警察局的改革都由此启动。</w:t>
      </w:r>
    </w:p>
    <w:p>
      <w:pPr>
        <w:keepNext/>
        <w:spacing w:before="80" w:after="40"/>
      </w:pPr>
      <w:r>
        <w:rPr>
          <w:rFonts w:ascii="Times New Roman" w:hAnsi="Times New Roman" w:eastAsia="宋体" w:cs="Times New Roman"/>
          <w:color w:val="808080"/>
          <w:spacing w:val="30"/>
          <w:sz w:val="16"/>
        </w:rPr>
        <w:t>条文原文 / ORIGINAL TEXT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Unlawful conduct It shall be unlawful for any governmental authority, or any agent thereof, or any person acting on behalf of a governmental authority, to engage in a pattern or practice of conduct by law enforcement officers or by officials or employees of any governmental agency with responsibility for the administration of juvenile justice or the incarceration of juveniles that deprives persons of rights, privileges, or immunities secured or protected by the Constitution or laws of the United States. Civil action by Attorney General Whenever the Attorney General has reasonable cause to believe that a violation of paragraph (1) [1] has occurred, the Attorney General, for or in the name of the United States, may in a civil action obtain appropriate equitable and declaratory relief to eliminate the pattern or practice.</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违法行为 政府机关、其任何代理人，或代表政府机关行事的任何人，从事由执法人员，或由任何负责少年司法管理或少年监禁的政府机构的官员或雇员实施的、剥夺人们依宪法或美国法律所保障或保护的权利、特权或豁免的一贯做法或惯例，即为违法。司法部长提起民事诉讼 凡司法部长有合理理由相信已发生违反第(1)款[1]的行为，司法部长可为美国或以其名义提起民事诉讼，获得适当的衡平法救济与宣告性救济，以消除该一贯做法或惯例。</w:t>
      </w:r>
      <w:r>
        <w:br/>
      </w:r>
      <w:r>
        <w:rPr>
          <w:rFonts w:ascii="Times New Roman" w:hAnsi="Times New Roman" w:eastAsia="宋体" w:cs="Times New Roman"/>
          <w:color w:val="808080"/>
          <w:sz w:val="15"/>
        </w:rPr>
        <w:t>来源：https://www.law.cornell.edu/uscode/text/42/14141</w:t>
      </w:r>
    </w:p>
    <w:p>
      <w:pPr>
        <w:keepNext/>
        <w:spacing w:before="400" w:after="40"/>
      </w:pPr>
      <w:r>
        <w:rPr>
          <w:rFonts w:ascii="黑体" w:hAnsi="黑体" w:eastAsia="黑体" w:cs="黑体"/>
          <w:b/>
          <w:color w:val="1F3864"/>
          <w:sz w:val="26"/>
        </w:rPr>
        <w:t>《电子监听禁令》</w:t>
      </w:r>
    </w:p>
    <w:p>
      <w:pPr>
        <w:keepNext/>
        <w:spacing w:after="60"/>
      </w:pPr>
      <w:r>
        <w:rPr>
          <w:rFonts w:ascii="Times New Roman" w:hAnsi="Times New Roman" w:eastAsia="宋体" w:cs="Times New Roman"/>
          <w:color w:val="595959"/>
          <w:sz w:val="18"/>
        </w:rPr>
        <w:t>Omnibus Crime Control and Safe Streets Act (1968), Title III, 18 U.S.C. § 2511</w:t>
      </w:r>
    </w:p>
    <w:p>
      <w:pPr>
        <w:keepNext/>
        <w:spacing w:after="160"/>
      </w:pPr>
      <w:r>
        <w:rPr>
          <w:rFonts w:ascii="Times New Roman" w:hAnsi="Times New Roman" w:eastAsia="宋体" w:cs="Times New Roman"/>
          <w:color w:val="808080"/>
          <w:sz w:val="16"/>
        </w:rPr>
        <w:t>1968 年 6 月 19 日 · 现行编纂 18 U.S.C. § 2511</w:t>
      </w:r>
    </w:p>
    <w:p>
      <w:pPr>
        <w:keepNext/>
        <w:spacing w:after="120" w:line="336" w:lineRule="auto"/>
        <w:jc w:val="both"/>
      </w:pPr>
      <w:r>
        <w:rPr>
          <w:rFonts w:ascii="Times New Roman" w:hAnsi="Times New Roman" w:eastAsia="宋体" w:cs="Times New Roman"/>
          <w:color w:val="222222"/>
          <w:sz w:val="19"/>
        </w:rPr>
        <w:t>第三编确立了电子监听的联邦框架：原则上禁止故意截取有线、口头或电子通信；例外须经法官授权，并满足特定的罪名、时限与最小化要求。它把第四修正案的令状要求写进了监听领域。</w:t>
      </w:r>
    </w:p>
    <w:p>
      <w:pPr>
        <w:keepNext/>
        <w:spacing w:before="80" w:after="40"/>
      </w:pPr>
      <w:r>
        <w:rPr>
          <w:rFonts w:ascii="Times New Roman" w:hAnsi="Times New Roman" w:eastAsia="宋体" w:cs="Times New Roman"/>
          <w:color w:val="808080"/>
          <w:spacing w:val="30"/>
          <w:sz w:val="16"/>
        </w:rPr>
        <w:t>条文原文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Except as otherwise specifically provided in this chapter any person who— intentionally intercepts, endeavors to intercept, or procures any other person to intercept or endeavor to intercept, any wire, oral, or electronic communication; [...]</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除本章另有特别规定外，任何人有下列情形之一者——故意截取、企图截取任何有线通信、口头通信或电子通信，或者促使他人截取或企图截取任何有线通信、口头通信或电子通信的；[...]</w:t>
      </w:r>
      <w:r>
        <w:br/>
      </w:r>
      <w:r>
        <w:rPr>
          <w:rFonts w:ascii="Times New Roman" w:hAnsi="Times New Roman" w:eastAsia="宋体" w:cs="Times New Roman"/>
          <w:color w:val="808080"/>
          <w:sz w:val="15"/>
        </w:rPr>
        <w:t>来源：https://www.law.cornell.edu/uscode/text/18/2511</w:t>
      </w:r>
    </w:p>
    <w:p>
      <w:pPr>
        <w:keepNext/>
        <w:spacing w:before="400" w:after="40"/>
      </w:pPr>
      <w:r>
        <w:rPr>
          <w:rFonts w:ascii="黑体" w:hAnsi="黑体" w:eastAsia="黑体" w:cs="黑体"/>
          <w:b/>
          <w:color w:val="1F3864"/>
          <w:sz w:val="26"/>
        </w:rPr>
        <w:t>《受管制物质法》</w:t>
      </w:r>
    </w:p>
    <w:p>
      <w:pPr>
        <w:keepNext/>
        <w:spacing w:after="60"/>
      </w:pPr>
      <w:r>
        <w:rPr>
          <w:rFonts w:ascii="Times New Roman" w:hAnsi="Times New Roman" w:eastAsia="宋体" w:cs="Times New Roman"/>
          <w:color w:val="595959"/>
          <w:sz w:val="18"/>
        </w:rPr>
        <w:t>Controlled Substances Act (1970), 21 U.S.C. § 841</w:t>
      </w:r>
    </w:p>
    <w:p>
      <w:pPr>
        <w:keepNext/>
        <w:spacing w:after="160"/>
      </w:pPr>
      <w:r>
        <w:rPr>
          <w:rFonts w:ascii="Times New Roman" w:hAnsi="Times New Roman" w:eastAsia="宋体" w:cs="Times New Roman"/>
          <w:color w:val="808080"/>
          <w:sz w:val="16"/>
        </w:rPr>
        <w:t>1970 年 10 月 27 日 · 现行编纂 21 U.S.C. § 841</w:t>
      </w:r>
    </w:p>
    <w:p>
      <w:pPr>
        <w:keepNext/>
        <w:spacing w:after="120" w:line="336" w:lineRule="auto"/>
        <w:jc w:val="both"/>
      </w:pPr>
      <w:r>
        <w:rPr>
          <w:rFonts w:ascii="Times New Roman" w:hAnsi="Times New Roman" w:eastAsia="宋体" w:cs="Times New Roman"/>
          <w:color w:val="222222"/>
          <w:sz w:val="19"/>
        </w:rPr>
        <w:t>把受管制物质按滥用潜力与医疗用途分级，禁止制造、分发、配发与持有意图；1973 年依重组计划设立缉毒局（DEA），成为联邦毒品执法的基础条文。量刑与分级此后多次修订，争议持续。</w:t>
      </w:r>
    </w:p>
    <w:p>
      <w:pPr>
        <w:keepNext/>
        <w:spacing w:before="80" w:after="40"/>
      </w:pPr>
      <w:r>
        <w:rPr>
          <w:rFonts w:ascii="Times New Roman" w:hAnsi="Times New Roman" w:eastAsia="宋体" w:cs="Times New Roman"/>
          <w:color w:val="808080"/>
          <w:spacing w:val="30"/>
          <w:sz w:val="16"/>
        </w:rPr>
        <w:t>条文原文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Except as authorized by this subchapter, it shall be unlawful for any person knowingly or intentionally— (1) to manufacture, distribute, or dispense, or possess with intent to manufacture, distribute, or dispense, a controlled substance; or (2) to create, distribute, or dispense, or possess with intent to distribute or dispense, a counterfeit substance.</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除本分章另有授权外，任何人明知或故意实施下列行为，均属违法——(1) 制造、分发或配发受管制物质，或者持有受管制物质并具有制造、分发或配发的意图；或(2) 制造、分发或配发假冒物质，或者持有假冒物质并具有分发或配发的意图。</w:t>
      </w:r>
      <w:r>
        <w:br/>
      </w:r>
      <w:r>
        <w:rPr>
          <w:rFonts w:ascii="Times New Roman" w:hAnsi="Times New Roman" w:eastAsia="宋体" w:cs="Times New Roman"/>
          <w:color w:val="808080"/>
          <w:sz w:val="15"/>
        </w:rPr>
        <w:t>来源：https://www.law.cornell.edu/uscode/text/21/841</w:t>
      </w:r>
    </w:p>
    <w:p>
      <w:pPr>
        <w:keepNext/>
        <w:spacing w:before="400" w:after="40"/>
      </w:pPr>
      <w:r>
        <w:rPr>
          <w:rFonts w:ascii="黑体" w:hAnsi="黑体" w:eastAsia="黑体" w:cs="黑体"/>
          <w:b/>
          <w:color w:val="1F3864"/>
          <w:sz w:val="26"/>
        </w:rPr>
        <w:t>《爱国者法》第 215 条</w:t>
      </w:r>
    </w:p>
    <w:p>
      <w:pPr>
        <w:keepNext/>
        <w:spacing w:after="60"/>
      </w:pPr>
      <w:r>
        <w:rPr>
          <w:rFonts w:ascii="Times New Roman" w:hAnsi="Times New Roman" w:eastAsia="宋体" w:cs="Times New Roman"/>
          <w:color w:val="595959"/>
          <w:sz w:val="18"/>
        </w:rPr>
        <w:t>USA PATRIOT Act (2001), § 215 (50 U.S.C. § 1861)</w:t>
      </w:r>
    </w:p>
    <w:p>
      <w:pPr>
        <w:keepNext/>
        <w:spacing w:after="160"/>
      </w:pPr>
      <w:r>
        <w:rPr>
          <w:rFonts w:ascii="Times New Roman" w:hAnsi="Times New Roman" w:eastAsia="宋体" w:cs="Times New Roman"/>
          <w:color w:val="808080"/>
          <w:sz w:val="16"/>
        </w:rPr>
        <w:t>2001 年 10 月 26 日 · 2015 年《美国自由法》修正</w:t>
      </w:r>
    </w:p>
    <w:p>
      <w:pPr>
        <w:keepNext w:val="0"/>
        <w:spacing w:after="120" w:line="336" w:lineRule="auto"/>
        <w:jc w:val="both"/>
      </w:pPr>
      <w:r>
        <w:rPr>
          <w:rFonts w:ascii="Times New Roman" w:hAnsi="Times New Roman" w:eastAsia="宋体" w:cs="Times New Roman"/>
          <w:color w:val="222222"/>
          <w:sz w:val="19"/>
        </w:rPr>
        <w:t>允许外国情报监视法庭（FISC）发出命令，要求生产与外国情报调查有关的“有形物品”（商业记录）。2015 年《美国自由法》终止了批量电话记录的收集，改为可向电信商查询特定号码的记录；该条于 2020 年 3 月失效后未再续期，但围绕情报执法与隐私的争论并未结束。</w:t>
      </w:r>
    </w:p>
    <w:p>
      <w:pPr>
        <w:keepNext/>
        <w:spacing w:before="80" w:after="40"/>
      </w:pPr>
      <w:r>
        <w:rPr>
          <w:rFonts w:ascii="Times New Roman" w:hAnsi="Times New Roman" w:eastAsia="宋体" w:cs="Times New Roman"/>
          <w:color w:val="808080"/>
          <w:spacing w:val="30"/>
          <w:sz w:val="16"/>
        </w:rPr>
        <w:t>条文原文 / ORIGINAL TEXT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(1) Subject to paragraph (3), the Director of the Federal Bureau of Investigation or a designee of the Director (whose rank shall be no lower than Assistant Special Agent in Charge) may make an application for an order requiring the production of any tangible things (including books, records, papers, documents, and other items) for an investigation to obtain foreign intelligence information not concerning a United States person or to protect against international terrorism or clandestine intelligence activities, provided that such investigation of a United States person is not conducted solely upon the basis of activities protected by the first amendment to the Constitution. [...] Each application under this section— (1) shall be made to— (A) a judge of the court established by section 1803of this title; or (B) a United States Magistrate Judge under chapter 43 of title 28, who is publicly designated by the Chief Justice of the United States to have the power to hear applications and grant orders for the production of tangible things under this section on behalf of a judge of that court; and [...]</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(1) 除第(3)款另有规定外，联邦调查局局长或局长指定的代行人（其级别不得低于助理特别探员主管），可以提出申请，请求签发命令，要求提交任何有形物品（包括簿册、记录、文书、文件及其他物品），用于获取不涉及美国人的外国情报信息，或用于防范国际恐怖主义或秘密情报活动的调查；但前提是，对美国人的此类调查不得仅以受《宪法第一修正案》保护的活动为依据。[...] 本条项下的每项申请——(1) 应向下列对象提出——(A) 依本编第1803条设立的法院的一名法官；或(B) 依第28编第43章设置的、经美国首席大法官公开指定、有权代表该法院法官审理本条项下申请并签发提交有形物品命令的一名美国治安法官；以及 [...]</w:t>
      </w:r>
      <w:r>
        <w:br/>
      </w:r>
      <w:r>
        <w:rPr>
          <w:rFonts w:ascii="Times New Roman" w:hAnsi="Times New Roman" w:eastAsia="宋体" w:cs="Times New Roman"/>
          <w:color w:val="808080"/>
          <w:sz w:val="15"/>
        </w:rPr>
        <w:t>来源：https://www.govinfo.gov/content/pkg/USCODE-2018-title50/html/USCODE-2018-title50-chap36-subchapIV-sec1861.htm</w:t>
      </w:r>
    </w:p>
    <w:p>
      <w:pPr>
        <w:pBdr>
          <w:bottom w:val="single" w:sz="4" w:space="6" w:color="BFBFBF"/>
        </w:pBdr>
        <w:spacing w:before="1280" w:after="280"/>
      </w:pPr>
      <w:r>
        <w:rPr>
          <w:rFonts w:ascii="Times New Roman" w:hAnsi="Times New Roman" w:eastAsia="宋体" w:cs="Times New Roman"/>
          <w:sz w:val="4"/>
        </w:rPr>
      </w:r>
    </w:p>
    <w:p>
      <w:pPr>
        <w:keepNext/>
        <w:spacing w:after="160"/>
        <w:jc w:val="center"/>
      </w:pPr>
      <w:r>
        <w:rPr>
          <w:rFonts w:ascii="Times New Roman" w:hAnsi="Times New Roman" w:eastAsia="宋体" w:cs="Times New Roman"/>
          <w:color w:val="595959"/>
          <w:spacing w:val="100"/>
          <w:sz w:val="19"/>
        </w:rPr>
        <w:t>下编</w:t>
      </w:r>
    </w:p>
    <w:p>
      <w:pPr>
        <w:keepNext/>
        <w:spacing w:before="0" w:after="160"/>
        <w:jc w:val="center"/>
      </w:pPr>
      <w:r>
        <w:rPr>
          <w:rFonts w:ascii="黑体" w:hAnsi="黑体" w:eastAsia="黑体" w:cs="黑体"/>
          <w:b/>
          <w:color w:val="1F3864"/>
          <w:sz w:val="44"/>
        </w:rPr>
        <w:t>执法的宪法边界</w:t>
      </w:r>
    </w:p>
    <w:p>
      <w:pPr>
        <w:keepNext/>
        <w:spacing w:after="200"/>
        <w:jc w:val="center"/>
      </w:pPr>
      <w:r>
        <w:rPr>
          <w:rFonts w:ascii="Times New Roman" w:hAnsi="Times New Roman" w:eastAsia="宋体" w:cs="Times New Roman"/>
          <w:color w:val="595959"/>
          <w:sz w:val="21"/>
        </w:rPr>
        <w:t>Cases: The Constitutional Limits</w:t>
      </w:r>
    </w:p>
    <w:p>
      <w:pPr>
        <w:spacing w:before="160"/>
        <w:jc w:val="center"/>
      </w:pPr>
      <w:r>
        <w:rPr>
          <w:rFonts w:ascii="Times New Roman" w:hAnsi="Times New Roman" w:eastAsia="宋体" w:cs="Times New Roman"/>
          <w:color w:val="808080"/>
          <w:sz w:val="19"/>
        </w:rPr>
        <w:t>八个判决：盘查、监听、武力、排除规则与数字时代的隐私</w:t>
      </w:r>
    </w:p>
    <w:p>
      <w:pPr>
        <w:keepNext/>
        <w:spacing w:before="440" w:after="40"/>
      </w:pPr>
      <w:r>
        <w:rPr>
          <w:rFonts w:ascii="黑体" w:hAnsi="黑体" w:eastAsia="黑体" w:cs="黑体"/>
          <w:b/>
          <w:color w:val="1F3864"/>
          <w:sz w:val="26"/>
        </w:rPr>
        <w:t>特里诉俄亥俄州案</w:t>
      </w:r>
    </w:p>
    <w:p>
      <w:pPr>
        <w:keepNext/>
        <w:spacing w:after="60"/>
      </w:pPr>
      <w:r>
        <w:rPr>
          <w:rFonts w:ascii="Times New Roman" w:hAnsi="Times New Roman" w:eastAsia="宋体" w:cs="Times New Roman"/>
          <w:i/>
          <w:color w:val="595959"/>
          <w:sz w:val="18"/>
        </w:rPr>
        <w:t>Terry v. Ohio</w:t>
      </w:r>
    </w:p>
    <w:p>
      <w:pPr>
        <w:keepNext/>
        <w:spacing w:after="160"/>
      </w:pPr>
      <w:r>
        <w:rPr>
          <w:rFonts w:ascii="Times New Roman" w:hAnsi="Times New Roman" w:eastAsia="宋体" w:cs="Times New Roman"/>
          <w:color w:val="808080"/>
          <w:sz w:val="16"/>
        </w:rPr>
        <w:t>392 U.S. 1 · 1968 年 6 月 10 日 · 8–1，沃伦首席大法官执笔</w:t>
      </w:r>
    </w:p>
    <w:p>
      <w:pPr>
        <w:keepNext w:val="0"/>
        <w:spacing w:after="120" w:line="336" w:lineRule="auto"/>
        <w:jc w:val="both"/>
      </w:pPr>
      <w:r>
        <w:rPr>
          <w:rFonts w:ascii="Times New Roman" w:hAnsi="Times New Roman" w:eastAsia="宋体" w:cs="Times New Roman"/>
          <w:color w:val="222222"/>
          <w:sz w:val="19"/>
        </w:rPr>
        <w:t>便衣警察在街头观察三人反复窥视商店橱窗、疑似踩点，遂上前表明身份、拦停并拍身搜查，发现手枪。法院认为，警察在有“合理怀疑”且为自身安全所必需时，可以短暂拦停并作有限度的拍身搜查，这不构成宪法意义上的“逮捕”与“搜查”，但必须有具体事实支撑，不能凭直觉。</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In view of these facts, we cannot blind ourselves to the need for law enforcement officers to protect themselves and other prospective victims of violence in situations where they may lack probable cause for an arrest. When an officer is justified in believing that the individual whose suspicious behavior he is investigating at close range is armed and presently dangerous to the officer or to others, it would appear to be clearly unreasonable to deny the officer the power to take necessary measures to determine whether the person is in fact carrying a weapon and to neutralize the threat of physical harm." (392 U.S. at 23-24) [...] "The officer need not be absolutely certain that the individual is armed; the issue is whether a reasonably prudent man in the circumstances would be warranted in the belief that his safety or that of others was in danger. [...] And in determining whether the officer acted reasonably in such circumstances, due weight must be given, not to his inchoate and unparticularized suspicion or 'hunch,' but to the specific reasonable inferences which he is entitled to draw from the facts in light of his experience." (392 U.S. at 27)</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有鉴于此，我们不能对执法人员在可能缺乏逮捕的合理根据的情形下保护自身及其他潜在暴力受害者的需要视而不见。当一名警察有理由相信，他正在近距离调查的、行为可疑之人持有武器且当前对警察或他人具有危险时，若否认该警察有权采取必要措施以查明该人事实上是否携带武器并消除人身伤害的威胁，则显然是不合理的。[...]警察无须绝对确定该人携带武器；问题在于，在此情形下，一名理性谨慎之人是否有正当理由相信自身或他人的安全正处于危险之中。[...]而在判断警察于此种情形下是否行为合理时，应适当考量的不是其模糊而未具体化的怀疑或'直觉'，而是其根据自身经验有权从事实中得出的具体合理推断。</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判决确立了“拦停与拍身搜查”（stop and frisk），成为街头执法的日常标准；它也把“合理怀疑”与“合理根据”区分为两个层级，此后所有关于盘查的争论都从这里出发。</w:t>
      </w:r>
    </w:p>
    <w:p>
      <w:pPr>
        <w:spacing w:before="40" w:after="40"/>
      </w:pPr>
      <w:r>
        <w:rPr>
          <w:rFonts w:ascii="Times New Roman" w:hAnsi="Times New Roman" w:eastAsia="宋体" w:cs="Times New Roman"/>
          <w:color w:val="808080"/>
          <w:sz w:val="15"/>
        </w:rPr>
        <w:t>来源：https://www.law.cornell.edu/supremecourt/text/392/1</w:t>
      </w:r>
    </w:p>
    <w:p>
      <w:pPr>
        <w:keepNext/>
        <w:spacing w:before="440" w:after="40"/>
      </w:pPr>
      <w:r>
        <w:rPr>
          <w:rFonts w:ascii="黑体" w:hAnsi="黑体" w:eastAsia="黑体" w:cs="黑体"/>
          <w:b/>
          <w:color w:val="1F3864"/>
          <w:sz w:val="26"/>
        </w:rPr>
        <w:t>卡茨诉合众国案</w:t>
      </w:r>
    </w:p>
    <w:p>
      <w:pPr>
        <w:keepNext/>
        <w:spacing w:after="60"/>
      </w:pPr>
      <w:r>
        <w:rPr>
          <w:rFonts w:ascii="Times New Roman" w:hAnsi="Times New Roman" w:eastAsia="宋体" w:cs="Times New Roman"/>
          <w:i/>
          <w:color w:val="595959"/>
          <w:sz w:val="18"/>
        </w:rPr>
        <w:t>Katz v. United States</w:t>
      </w:r>
    </w:p>
    <w:p>
      <w:pPr>
        <w:keepNext/>
        <w:spacing w:after="160"/>
      </w:pPr>
      <w:r>
        <w:rPr>
          <w:rFonts w:ascii="Times New Roman" w:hAnsi="Times New Roman" w:eastAsia="宋体" w:cs="Times New Roman"/>
          <w:color w:val="808080"/>
          <w:sz w:val="16"/>
        </w:rPr>
        <w:t>389 U.S. 347 · 1967 年 12 月 18 日 · 7–1，斯图尔特法官执笔</w:t>
      </w:r>
    </w:p>
    <w:p>
      <w:pPr>
        <w:keepNext w:val="0"/>
        <w:spacing w:after="120" w:line="336" w:lineRule="auto"/>
        <w:jc w:val="both"/>
      </w:pPr>
      <w:r>
        <w:rPr>
          <w:rFonts w:ascii="Times New Roman" w:hAnsi="Times New Roman" w:eastAsia="宋体" w:cs="Times New Roman"/>
          <w:color w:val="222222"/>
          <w:sz w:val="19"/>
        </w:rPr>
        <w:t>FBI 在公用电话亭外安装窃听装置，录下卡茨的赌球通话。法院放弃此前的“物理侵入”标准，转而追问当事人是否享有“合理的隐私期待”：第四修正案保护的是人，不是场所。政府监听通话，须事先取得令状。</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Because of the misleading way the issues have been formulated, the parties have attached great significance to the characterization of the telephone booth from which the petitioner placed his calls. The petitioner has strenuously argued that the booth was a 'constitutionally protected area.' The Government has maintained with equal vigor that it was not. But this effort to decide whether or not a given 'area,' viewed in the abstract, is 'constitutionally protected' deflects attention from the problem presented by this case. For the Fourth Amendment protects people, not places." (389 U.S. at 351) [...] "What a person knowingly exposes to the public, even in his own home or office, is not a subject of Fourth Amendment protection. [...] But what he seeks to preserve as private, even in an area accessible to the public, may be constitutionally protected." (389 U.S. at 351-352)</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由于问题被以误导性的方式提出，双方当事人极为重视对请愿人打电话所在电话亭的定性。请愿人竭力主张该电话亭是'受宪法保护的区域'。政府则以同样的力度主张它并非如此。但是，这种试图抽象地判定某一'区域'是否'受宪法保护'的努力，偏离了本案所呈现的问题。因为第四修正案保护的是人，而不是场所。[...]一个人明知而向公众暴露的内容，即使是在自己的住宅或办公室内，也不属于第四修正案保护的对象。[...]但他试图作为私密加以保留的内容，即使在公众可以进入的区域内，也可能受到宪法保护。</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判决奠定了现代第四修正案的分析框架——“合理的隐私期待”，并直接催生了 1968 年《综合犯罪控制法》第三编的监听许可制度。</w:t>
      </w:r>
    </w:p>
    <w:p>
      <w:pPr>
        <w:spacing w:before="40" w:after="40"/>
      </w:pPr>
      <w:r>
        <w:rPr>
          <w:rFonts w:ascii="Times New Roman" w:hAnsi="Times New Roman" w:eastAsia="宋体" w:cs="Times New Roman"/>
          <w:color w:val="808080"/>
          <w:sz w:val="15"/>
        </w:rPr>
        <w:t>来源：https://www.law.cornell.edu/supremecourt/text/389/347</w:t>
      </w:r>
    </w:p>
    <w:p>
      <w:pPr>
        <w:keepNext/>
        <w:spacing w:before="440" w:after="40"/>
      </w:pPr>
      <w:r>
        <w:rPr>
          <w:rFonts w:ascii="黑体" w:hAnsi="黑体" w:eastAsia="黑体" w:cs="黑体"/>
          <w:b/>
          <w:color w:val="1F3864"/>
          <w:sz w:val="26"/>
        </w:rPr>
        <w:t>田纳西州诉加纳案</w:t>
      </w:r>
    </w:p>
    <w:p>
      <w:pPr>
        <w:keepNext/>
        <w:spacing w:after="60"/>
      </w:pPr>
      <w:r>
        <w:rPr>
          <w:rFonts w:ascii="Times New Roman" w:hAnsi="Times New Roman" w:eastAsia="宋体" w:cs="Times New Roman"/>
          <w:i/>
          <w:color w:val="595959"/>
          <w:sz w:val="18"/>
        </w:rPr>
        <w:t>Tennessee v. Garner</w:t>
      </w:r>
    </w:p>
    <w:p>
      <w:pPr>
        <w:keepNext/>
        <w:spacing w:after="160"/>
      </w:pPr>
      <w:r>
        <w:rPr>
          <w:rFonts w:ascii="Times New Roman" w:hAnsi="Times New Roman" w:eastAsia="宋体" w:cs="Times New Roman"/>
          <w:color w:val="808080"/>
          <w:sz w:val="16"/>
        </w:rPr>
        <w:t>471 U.S. 1 · 1985 年 3 月 27 日 · 6–3，怀特法官执笔</w:t>
      </w:r>
    </w:p>
    <w:p>
      <w:pPr>
        <w:keepNext w:val="0"/>
        <w:spacing w:after="120" w:line="336" w:lineRule="auto"/>
        <w:jc w:val="both"/>
      </w:pPr>
      <w:r>
        <w:rPr>
          <w:rFonts w:ascii="Times New Roman" w:hAnsi="Times New Roman" w:eastAsia="宋体" w:cs="Times New Roman"/>
          <w:color w:val="222222"/>
          <w:sz w:val="19"/>
        </w:rPr>
        <w:t>一名 15 岁少年入室盗窃后逃跑，警察依田纳西州法“对逃跑的重罪嫌疑人可以使用一切必要手段”开枪将其击毙。法院认为，对逃跑嫌疑人使用致命武力，若不构成对警察或他人的即时危险，即属第四修正案禁止的不合理扣押。</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The use of deadly force to prevent the escape of all felony suspects, whatever the circumstances, is constitutionally unreasonable. It is not better that all felony suspects die than that they escape. Where the suspect poses no immediate threat to the officer and no threat to others, the harm resulting from failing to apprehend him does not justify the use of deadly force to do so." (471 U.S. at 11) [...] "We conclude that such force may not be used unless it is necessary to prevent the escape and the officer has probable cause to believe that the suspect poses a significant threat of death or serious physical injury to the officer or others." (471 U.S. at 3) [...] "Thus, if the suspect threatens the officer with a weapon or there is probable cause to believe that he has committed a crime involving the infliction or threatened infliction of serious physical harm, deadly force may be used if necessary to prevent escape, and if, where feasible, some warning has been given." (471 U.S. at 11-12)</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为阻止所有重罪嫌疑人逃跑而不论具体情形一律使用致命武力，在宪法上是不合理的。让所有重罪嫌疑人都死去，并不比让他们逃跑更好。当嫌疑人对警察不构成即时威胁、对他人亦不构成威胁时，未能将其抓获所造成的损害，并不足以使为此使用致命武力具有正当性。[...]我们判定：除非为防止逃跑所必需，且警察有合理根据相信该嫌疑人对警察或他人构成死亡或严重身体伤害的重大威胁，否则不得使用此种武力。[...]因此，如果嫌疑人以武器威胁警察，或者有合理根据相信其已实施涉及造成或威胁造成严重身体伤害的犯罪，则在为防止逃跑所必需时可以使用致命武力，并且在可行的情况下应先予警告。</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判决推翻了普通法上“重罪嫌疑人可被击毙”的规则，确立了致命武力的宪法底线；此后各州与警察局的使用武力政策都以此为基础改写。</w:t>
      </w:r>
    </w:p>
    <w:p>
      <w:pPr>
        <w:spacing w:before="40" w:after="40"/>
      </w:pPr>
      <w:r>
        <w:rPr>
          <w:rFonts w:ascii="Times New Roman" w:hAnsi="Times New Roman" w:eastAsia="宋体" w:cs="Times New Roman"/>
          <w:color w:val="808080"/>
          <w:sz w:val="15"/>
        </w:rPr>
        <w:t>来源：https://www.law.cornell.edu/supremecourt/text/471/1</w:t>
      </w:r>
    </w:p>
    <w:p>
      <w:pPr>
        <w:keepNext/>
        <w:spacing w:before="440" w:after="40"/>
      </w:pPr>
      <w:r>
        <w:rPr>
          <w:rFonts w:ascii="黑体" w:hAnsi="黑体" w:eastAsia="黑体" w:cs="黑体"/>
          <w:b/>
          <w:color w:val="1F3864"/>
          <w:sz w:val="26"/>
        </w:rPr>
        <w:t>格雷厄姆诉康纳案</w:t>
      </w:r>
    </w:p>
    <w:p>
      <w:pPr>
        <w:keepNext/>
        <w:spacing w:after="60"/>
      </w:pPr>
      <w:r>
        <w:rPr>
          <w:rFonts w:ascii="Times New Roman" w:hAnsi="Times New Roman" w:eastAsia="宋体" w:cs="Times New Roman"/>
          <w:i/>
          <w:color w:val="595959"/>
          <w:sz w:val="18"/>
        </w:rPr>
        <w:t>Graham v. Connor</w:t>
      </w:r>
    </w:p>
    <w:p>
      <w:pPr>
        <w:keepNext/>
        <w:spacing w:after="160"/>
      </w:pPr>
      <w:r>
        <w:rPr>
          <w:rFonts w:ascii="Times New Roman" w:hAnsi="Times New Roman" w:eastAsia="宋体" w:cs="Times New Roman"/>
          <w:color w:val="808080"/>
          <w:sz w:val="16"/>
        </w:rPr>
        <w:t>490 U.S. 386 · 1989 年 5 月 15 日 · 9–0，伦奎斯特首席大法官执笔</w:t>
      </w:r>
    </w:p>
    <w:p>
      <w:pPr>
        <w:keepNext w:val="0"/>
        <w:spacing w:after="120" w:line="336" w:lineRule="auto"/>
        <w:jc w:val="both"/>
      </w:pPr>
      <w:r>
        <w:rPr>
          <w:rFonts w:ascii="Times New Roman" w:hAnsi="Times New Roman" w:eastAsia="宋体" w:cs="Times New Roman"/>
          <w:color w:val="222222"/>
          <w:sz w:val="19"/>
        </w:rPr>
        <w:t>一名糖尿病患者被警察拦停后因身体不适要求服药，警察未予理会并对其使用武力。下级法院按第八修正案（禁止残酷刑罚）审查。最高法院认为，逮捕过程中的武力应依第四修正案的“客观合理性”标准判断，并须考虑现场情境与警察的瞬间判断。</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As in other Fourth Amendment contexts, however, the 'reasonableness' inquiry in an excessive force case is an objective one: the question is whether the officers' actions are 'objectively reasonable' in light of the facts and circumstances confronting them, without regard to their underlying intent or motivation. [...] An officer's evil intentions will not make a Fourth Amendment violation out of an objectively reasonable use of force; nor will an officer's good intentions make an objectively unreasonable use of force constitutional." (490 U.S. at 397) [...] "Not every push or shove, even if it may later seem unnecessary in the peace of a judge's chambers, violates the Fourth Amendment. The calculus of reasonableness must embody allowance for the fact that police officers are often forced to make split-second judgments—in circumstances that are tense, uncertain, and rapidly evolving—about the amount of force that is necessary in a particular situation." (490 U.S. at 396-397)</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然而，如同第四修正案的其他领域一样，过度武力案件中的'合理性'审查是一种客观审查：问题在于，根据警察当时所面对的事实与情形，其行为是否'客观上合理'，而不问其内在意图或动机。[...]警察的恶意意图不能使客观上合理的武力使用成为违反第四修正案的行为；警察的善意意图也不能使客观上不合理的武力使用合宪。[...]并非每一次推搡或挤压都违反第四修正案，即使事后在法官宁静的办公室里看来可能并无必要。合理性的权衡必须顾及如下事实：警察往往不得不在紧张、不确定且迅速变化的情形下，就某一特定情形下所需武力的程度作出瞬间判断。</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判决确立了过度武力案件的“客观合理性”标准，成为此后所有执法武力诉讼的审查框架；它也明确“并非每一次推搡都构成违宪”。</w:t>
      </w:r>
    </w:p>
    <w:p>
      <w:pPr>
        <w:spacing w:before="40" w:after="40"/>
      </w:pPr>
      <w:r>
        <w:rPr>
          <w:rFonts w:ascii="Times New Roman" w:hAnsi="Times New Roman" w:eastAsia="宋体" w:cs="Times New Roman"/>
          <w:color w:val="808080"/>
          <w:sz w:val="15"/>
        </w:rPr>
        <w:t>来源：https://www.law.cornell.edu/supremecourt/text/490/386</w:t>
      </w:r>
    </w:p>
    <w:p>
      <w:pPr>
        <w:keepNext/>
        <w:spacing w:before="440" w:after="40"/>
      </w:pPr>
      <w:r>
        <w:rPr>
          <w:rFonts w:ascii="黑体" w:hAnsi="黑体" w:eastAsia="黑体" w:cs="黑体"/>
          <w:b/>
          <w:color w:val="1F3864"/>
          <w:sz w:val="26"/>
        </w:rPr>
        <w:t>合众国诉利昂案</w:t>
      </w:r>
    </w:p>
    <w:p>
      <w:pPr>
        <w:keepNext/>
        <w:spacing w:after="60"/>
      </w:pPr>
      <w:r>
        <w:rPr>
          <w:rFonts w:ascii="Times New Roman" w:hAnsi="Times New Roman" w:eastAsia="宋体" w:cs="Times New Roman"/>
          <w:i/>
          <w:color w:val="595959"/>
          <w:sz w:val="18"/>
        </w:rPr>
        <w:t>United States v. Leon</w:t>
      </w:r>
    </w:p>
    <w:p>
      <w:pPr>
        <w:keepNext/>
        <w:spacing w:after="160"/>
      </w:pPr>
      <w:r>
        <w:rPr>
          <w:rFonts w:ascii="Times New Roman" w:hAnsi="Times New Roman" w:eastAsia="宋体" w:cs="Times New Roman"/>
          <w:color w:val="808080"/>
          <w:sz w:val="16"/>
        </w:rPr>
        <w:t>468 U.S. 897 · 1984 年 7 月 5 日 · 6–3，怀特法官执笔</w:t>
      </w:r>
    </w:p>
    <w:p>
      <w:pPr>
        <w:keepNext w:val="0"/>
        <w:spacing w:after="120" w:line="336" w:lineRule="auto"/>
        <w:jc w:val="both"/>
      </w:pPr>
      <w:r>
        <w:rPr>
          <w:rFonts w:ascii="Times New Roman" w:hAnsi="Times New Roman" w:eastAsia="宋体" w:cs="Times New Roman"/>
          <w:color w:val="222222"/>
          <w:sz w:val="19"/>
        </w:rPr>
        <w:t>警察依搜查令搜查，事后发现该令状缺乏合理根据。法院认为，排除证据的目的是威慑警察的违法行为；若警察客观上合理地信赖由中立法官签发的令状，排除证据并不能起到威慑作用，故不必排除。</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But even assuming that the rule effectively deters some police misconduct and provides incentives for the law enforcement profession as a whole to conduct itself in accord with the Fourth Amendment, it cannot be expected, and should not be applied, to deter objectively reasonable law enforcement activity. [...] We conclude that the marginal or nonexistent benefits produced by suppressing evidence obtained in objectively reasonable reliance on a subsequently invalidated search warrant cannot justify the substantial costs of exclusion. [...] In the absence of an allegation that the magistrate abandoned his detached and neutral role, suppression is appropriate only if the officers were dishonest or reckless in preparing their affidavit or could not have harbored an objectively reasonable belief in the existence of probable cause.</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但是，即便假定该规则确实对某些警察不当行为具有威慑效果，并为整个执法职业依照第四修正案行事提供了激励，也不能指望以该规则去威慑客观上合理的执法活动，更不应当这样适用该规则。[...] 我们判定：对于执法官员在客观上合理地信赖一份此后被认定无效的搜查令的情况下取得的证据，排除该证据所能产生的边际收益乃至根本不存在的收益，不足以证成排除所带来的重大代价。[...] 在无人主张治安法官已放弃其超然中立角色的情况下，只有在执法官员制作宣誓书时不诚实或轻率，或者不可能对相当理由之存在抱有客观合理信念时，排除证据方属适当。</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判决确立了非法证据排除规则的“善意例外”，大幅限制了排除规则的适用范围；此后“例外”不断增多，成为第四修正案执行中最具争议的部分。</w:t>
      </w:r>
    </w:p>
    <w:p>
      <w:pPr>
        <w:spacing w:before="40" w:after="40"/>
      </w:pPr>
      <w:r>
        <w:rPr>
          <w:rFonts w:ascii="Times New Roman" w:hAnsi="Times New Roman" w:eastAsia="宋体" w:cs="Times New Roman"/>
          <w:color w:val="808080"/>
          <w:sz w:val="15"/>
        </w:rPr>
        <w:t>来源：https://www.law.cornell.edu/supremecourt/text/468/897</w:t>
      </w:r>
    </w:p>
    <w:p>
      <w:pPr>
        <w:keepNext/>
        <w:spacing w:before="440" w:after="40"/>
      </w:pPr>
      <w:r>
        <w:rPr>
          <w:rFonts w:ascii="黑体" w:hAnsi="黑体" w:eastAsia="黑体" w:cs="黑体"/>
          <w:b/>
          <w:color w:val="1F3864"/>
          <w:sz w:val="26"/>
        </w:rPr>
        <w:t>惠伦诉合众国案</w:t>
      </w:r>
    </w:p>
    <w:p>
      <w:pPr>
        <w:keepNext/>
        <w:spacing w:after="60"/>
      </w:pPr>
      <w:r>
        <w:rPr>
          <w:rFonts w:ascii="Times New Roman" w:hAnsi="Times New Roman" w:eastAsia="宋体" w:cs="Times New Roman"/>
          <w:i/>
          <w:color w:val="595959"/>
          <w:sz w:val="18"/>
        </w:rPr>
        <w:t>Whren v. United States</w:t>
      </w:r>
    </w:p>
    <w:p>
      <w:pPr>
        <w:keepNext/>
        <w:spacing w:after="160"/>
      </w:pPr>
      <w:r>
        <w:rPr>
          <w:rFonts w:ascii="Times New Roman" w:hAnsi="Times New Roman" w:eastAsia="宋体" w:cs="Times New Roman"/>
          <w:color w:val="808080"/>
          <w:sz w:val="16"/>
        </w:rPr>
        <w:t>517 U.S. 806 · 1996 年 6 月 10 日 · 9–0，斯卡利亚法官执笔</w:t>
      </w:r>
    </w:p>
    <w:p>
      <w:pPr>
        <w:keepNext/>
        <w:spacing w:after="120" w:line="336" w:lineRule="auto"/>
        <w:jc w:val="both"/>
      </w:pPr>
      <w:r>
        <w:rPr>
          <w:rFonts w:ascii="Times New Roman" w:hAnsi="Times New Roman" w:eastAsia="宋体" w:cs="Times New Roman"/>
          <w:color w:val="222222"/>
          <w:sz w:val="19"/>
        </w:rPr>
        <w:t>便衣警察在毒品高发区因一辆车闯停牌、超速而拦停，随后发现毒品。被告主张拦停的真实动机是种族。法院认为，只要客观上存在交通违章的合理根据，拦停即属合宪，主观动机不影响第四修正案的分析。</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We think these cases foreclose any argument that the constitutional reasonableness of traffic stops depends on the actual motivations of the individual officers involved. [...] Subjective intentions play no role in ordinary, probable-cause Fourth Amendment analysis.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判决使“借口性拦停”（pretextual stop）在宪法上难以挑战，也把种族定性的争议推向平等保护与州法层面；批评者认为它实质上为歧视性执法留下了空间。</w:t>
      </w:r>
    </w:p>
    <w:p>
      <w:pPr>
        <w:spacing w:before="40" w:after="40"/>
      </w:pPr>
      <w:r>
        <w:rPr>
          <w:rFonts w:ascii="Times New Roman" w:hAnsi="Times New Roman" w:eastAsia="宋体" w:cs="Times New Roman"/>
          <w:color w:val="808080"/>
          <w:sz w:val="15"/>
        </w:rPr>
        <w:t>来源：https://www.law.cornell.edu/supremecourt/text/517/806</w:t>
      </w:r>
    </w:p>
    <w:p>
      <w:pPr>
        <w:keepNext/>
        <w:spacing w:before="440" w:after="40"/>
      </w:pPr>
      <w:r>
        <w:rPr>
          <w:rFonts w:ascii="黑体" w:hAnsi="黑体" w:eastAsia="黑体" w:cs="黑体"/>
          <w:b/>
          <w:color w:val="1F3864"/>
          <w:sz w:val="26"/>
        </w:rPr>
        <w:t>莱利诉加利福尼亚州案</w:t>
      </w:r>
    </w:p>
    <w:p>
      <w:pPr>
        <w:keepNext/>
        <w:spacing w:after="60"/>
      </w:pPr>
      <w:r>
        <w:rPr>
          <w:rFonts w:ascii="Times New Roman" w:hAnsi="Times New Roman" w:eastAsia="宋体" w:cs="Times New Roman"/>
          <w:i/>
          <w:color w:val="595959"/>
          <w:sz w:val="18"/>
        </w:rPr>
        <w:t>Riley v. California</w:t>
      </w:r>
    </w:p>
    <w:p>
      <w:pPr>
        <w:keepNext/>
        <w:spacing w:after="160"/>
      </w:pPr>
      <w:r>
        <w:rPr>
          <w:rFonts w:ascii="Times New Roman" w:hAnsi="Times New Roman" w:eastAsia="宋体" w:cs="Times New Roman"/>
          <w:color w:val="808080"/>
          <w:sz w:val="16"/>
        </w:rPr>
        <w:t>573 U.S. 373 · 2014 年 6 月 25 日 · 9–0，罗伯茨首席大法官执笔</w:t>
      </w:r>
    </w:p>
    <w:p>
      <w:pPr>
        <w:keepNext/>
        <w:spacing w:after="120" w:line="336" w:lineRule="auto"/>
        <w:jc w:val="both"/>
      </w:pPr>
      <w:r>
        <w:rPr>
          <w:rFonts w:ascii="Times New Roman" w:hAnsi="Times New Roman" w:eastAsia="宋体" w:cs="Times New Roman"/>
          <w:color w:val="222222"/>
          <w:sz w:val="19"/>
        </w:rPr>
        <w:t>莱利因交通违法被捕，警察依“逮捕附带搜查”惯例查看其手机，发现涉枪证据。法院认为，手机储存的信息量远超传统的钱包与笔记本，不能适用“附带搜查”例外；除紧急情况外，搜查手机原则上须取得令状。</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Modern cell phones are not just another technological convenience. With all they contain and all they may reveal, they hold for many Americans “the privacies of life,” Boyd, supra, at 630. The fact that technology now allows an individual to carry such information in his hand does not make the information any less worthy of the protection for which the Founders fought. Our answer to the question of what police must do before searching a cell phone seized incident to an arrest is accordingly simple—get a warrant.</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现代手机并不只是又一种技术上的便利。就其容纳的一切和可能揭示的一切而言，它们承载着许多美国人“生活上的私密”，Boyd 案，前引，第630页。技术如今使个人得以将此类信息随身握于掌中，这一事实并不使该信息减少分毫制宪先辈为之奋斗的保护价值。因此，对于警方在搜查附随逮捕而扣押的手机之前必须做什么这一问题，我们的回答很简单——取得搜查令。</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判决把第四修正案带进数字时代，成为此后所有电子设备搜查案件的起点；它也间接推动了执法机关对数据取证流程的规范化。</w:t>
      </w:r>
    </w:p>
    <w:p>
      <w:pPr>
        <w:spacing w:before="40" w:after="40"/>
      </w:pPr>
      <w:r>
        <w:rPr>
          <w:rFonts w:ascii="Times New Roman" w:hAnsi="Times New Roman" w:eastAsia="宋体" w:cs="Times New Roman"/>
          <w:color w:val="808080"/>
          <w:sz w:val="15"/>
        </w:rPr>
        <w:t>来源：https://www.law.cornell.edu/supremecourt/text/13-132</w:t>
      </w:r>
    </w:p>
    <w:p>
      <w:pPr>
        <w:keepNext/>
        <w:spacing w:before="440" w:after="40"/>
      </w:pPr>
      <w:r>
        <w:rPr>
          <w:rFonts w:ascii="黑体" w:hAnsi="黑体" w:eastAsia="黑体" w:cs="黑体"/>
          <w:b/>
          <w:color w:val="1F3864"/>
          <w:sz w:val="26"/>
        </w:rPr>
        <w:t>卡彭特诉合众国案</w:t>
      </w:r>
    </w:p>
    <w:p>
      <w:pPr>
        <w:keepNext/>
        <w:spacing w:after="60"/>
      </w:pPr>
      <w:r>
        <w:rPr>
          <w:rFonts w:ascii="Times New Roman" w:hAnsi="Times New Roman" w:eastAsia="宋体" w:cs="Times New Roman"/>
          <w:i/>
          <w:color w:val="595959"/>
          <w:sz w:val="18"/>
        </w:rPr>
        <w:t>Carpenter v. United States</w:t>
      </w:r>
    </w:p>
    <w:p>
      <w:pPr>
        <w:keepNext/>
        <w:spacing w:after="160"/>
      </w:pPr>
      <w:r>
        <w:rPr>
          <w:rFonts w:ascii="Times New Roman" w:hAnsi="Times New Roman" w:eastAsia="宋体" w:cs="Times New Roman"/>
          <w:color w:val="808080"/>
          <w:sz w:val="16"/>
        </w:rPr>
        <w:t>585 U.S. 296 · 2018 年 6 月 22 日 · 5–4，罗伯茨首席大法官执笔</w:t>
      </w:r>
    </w:p>
    <w:p>
      <w:pPr>
        <w:keepNext/>
        <w:spacing w:after="120" w:line="336" w:lineRule="auto"/>
        <w:jc w:val="both"/>
      </w:pPr>
      <w:r>
        <w:rPr>
          <w:rFonts w:ascii="Times New Roman" w:hAnsi="Times New Roman" w:eastAsia="宋体" w:cs="Times New Roman"/>
          <w:color w:val="222222"/>
          <w:sz w:val="19"/>
        </w:rPr>
        <w:t>警方未取得令状，要求电信商提供嫌疑人长达 127 天的基站位置记录，据此还原其行踪。法院认为，长期、连续的位置信息构成对个人生活的全面追踪，属于第四修正案保护的隐私领域，原则上须有令状。</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Whether the Government employs its own surveillance technology as in Jones or leverages the technology of a wireless carrier, we hold that an individual maintains a legitimate expectation of privacy in the record of his physical movements as captured through CSLI. The location information obtained from Carpenter's wireless carriers was the product of a search. [...] Having found that the acquisition of Carpenter's CSLI was a search, we also conclude that the Government must generally obtain a warrant supported by probable cause before acquiring such records.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无论政府是像 Jones 案那样使用自己的监控技术，还是借助无线运营商的技术，我们均判定：个人对其被基站位置信息（CSLI）所记录的身体活动轨迹，保有正当的隐私期待。从卡彭特的无线运营商处取得的位置信息，乃搜查之产物。[...] 在认定获取卡彭特的基站位置信息构成搜查之后，我们进一步判定：政府在获取此类记录之前，一般必须取得以相当理由为支持的搜查令。</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判决把“合理的隐私期待”延伸到元数据，被视为数字隐私的分水岭；其边界（多长算“长期”、哪些例外适用）仍由后续判例划定。</w:t>
      </w:r>
    </w:p>
    <w:p>
      <w:pPr>
        <w:spacing w:before="40" w:after="40"/>
      </w:pPr>
      <w:r>
        <w:rPr>
          <w:rFonts w:ascii="Times New Roman" w:hAnsi="Times New Roman" w:eastAsia="宋体" w:cs="Times New Roman"/>
          <w:color w:val="808080"/>
          <w:sz w:val="15"/>
        </w:rPr>
        <w:t>来源：https://www.law.cornell.edu/supremecourt/text/16-402</w:t>
      </w:r>
    </w:p>
    <w:p>
      <w:pPr>
        <w:pBdr>
          <w:bottom w:val="single" w:sz="4" w:space="4" w:color="BFBFBF"/>
        </w:pBdr>
        <w:spacing w:before="480" w:after="200"/>
      </w:pPr>
      <w:r>
        <w:rPr>
          <w:rFonts w:ascii="黑体" w:hAnsi="黑体" w:eastAsia="黑体" w:cs="黑体"/>
          <w:b/>
          <w:color w:val="1F3864"/>
          <w:sz w:val="28"/>
        </w:rPr>
        <w:t>延伸阅读</w:t>
      </w:r>
    </w:p>
    <w:p>
      <w:pPr>
        <w:spacing w:after="20"/>
      </w:pPr>
      <w:r>
        <w:rPr>
          <w:rFonts w:ascii="Times New Roman" w:hAnsi="Times New Roman" w:eastAsia="宋体" w:cs="Times New Roman"/>
          <w:color w:val="222222"/>
          <w:sz w:val="18"/>
        </w:rPr>
        <w:t>康奈尔法律信息研究所 · 美国法典</w:t>
      </w:r>
    </w:p>
    <w:p>
      <w:pPr>
        <w:spacing w:after="180"/>
      </w:pPr>
      <w:r>
        <w:rPr>
          <w:rFonts w:ascii="Times New Roman" w:hAnsi="Times New Roman" w:eastAsia="宋体" w:cs="Times New Roman"/>
          <w:color w:val="808080"/>
          <w:sz w:val="16"/>
        </w:rPr>
        <w:t>https://www.law.cornell.edu/uscode/text</w:t>
      </w:r>
    </w:p>
    <w:p>
      <w:pPr>
        <w:spacing w:after="20"/>
      </w:pPr>
      <w:r>
        <w:rPr>
          <w:rFonts w:ascii="Times New Roman" w:hAnsi="Times New Roman" w:eastAsia="宋体" w:cs="Times New Roman"/>
          <w:color w:val="222222"/>
          <w:sz w:val="18"/>
        </w:rPr>
        <w:t>司法部 · 民权司（执法机关一贯做法调查）</w:t>
      </w:r>
    </w:p>
    <w:p>
      <w:pPr>
        <w:spacing w:after="180"/>
      </w:pPr>
      <w:r>
        <w:rPr>
          <w:rFonts w:ascii="Times New Roman" w:hAnsi="Times New Roman" w:eastAsia="宋体" w:cs="Times New Roman"/>
          <w:color w:val="808080"/>
          <w:sz w:val="16"/>
        </w:rPr>
        <w:t>https://www.justice.gov/crt</w:t>
      </w:r>
    </w:p>
    <w:p>
      <w:pPr>
        <w:spacing w:after="20"/>
      </w:pPr>
      <w:r>
        <w:rPr>
          <w:rFonts w:ascii="Times New Roman" w:hAnsi="Times New Roman" w:eastAsia="宋体" w:cs="Times New Roman"/>
          <w:color w:val="222222"/>
          <w:sz w:val="18"/>
        </w:rPr>
        <w:t>联邦调查局 · 公开文件与统计</w:t>
      </w:r>
    </w:p>
    <w:p>
      <w:pPr>
        <w:spacing w:after="180"/>
      </w:pPr>
      <w:r>
        <w:rPr>
          <w:rFonts w:ascii="Times New Roman" w:hAnsi="Times New Roman" w:eastAsia="宋体" w:cs="Times New Roman"/>
          <w:color w:val="808080"/>
          <w:sz w:val="16"/>
        </w:rPr>
        <w:t>https://www.fbi.gov</w:t>
      </w:r>
    </w:p>
    <w:p>
      <w:pPr>
        <w:spacing w:after="20"/>
      </w:pPr>
      <w:r>
        <w:rPr>
          <w:rFonts w:ascii="Times New Roman" w:hAnsi="Times New Roman" w:eastAsia="宋体" w:cs="Times New Roman"/>
          <w:color w:val="222222"/>
          <w:sz w:val="18"/>
        </w:rPr>
        <w:t>司法统计局 · 执法机构普查</w:t>
      </w:r>
    </w:p>
    <w:p>
      <w:pPr>
        <w:spacing w:after="180"/>
      </w:pPr>
      <w:r>
        <w:rPr>
          <w:rFonts w:ascii="Times New Roman" w:hAnsi="Times New Roman" w:eastAsia="宋体" w:cs="Times New Roman"/>
          <w:color w:val="808080"/>
          <w:sz w:val="16"/>
        </w:rPr>
        <w:t>https://bjs.ojp.gov</w:t>
      </w:r>
    </w:p>
    <w:p>
      <w:pPr>
        <w:spacing w:after="20"/>
      </w:pPr>
      <w:r>
        <w:rPr>
          <w:rFonts w:ascii="Times New Roman" w:hAnsi="Times New Roman" w:eastAsia="宋体" w:cs="Times New Roman"/>
          <w:color w:val="222222"/>
          <w:sz w:val="18"/>
        </w:rPr>
        <w:t>联邦公报 · 执法规则与总统文件</w:t>
      </w:r>
    </w:p>
    <w:p>
      <w:pPr>
        <w:spacing w:after="180"/>
      </w:pPr>
      <w:r>
        <w:rPr>
          <w:rFonts w:ascii="Times New Roman" w:hAnsi="Times New Roman" w:eastAsia="宋体" w:cs="Times New Roman"/>
          <w:color w:val="808080"/>
          <w:sz w:val="16"/>
        </w:rPr>
        <w:t>https://www.federalregister.gov</w:t>
      </w:r>
    </w:p>
    <w:p>
      <w:pPr>
        <w:spacing w:after="20"/>
      </w:pPr>
      <w:r>
        <w:rPr>
          <w:rFonts w:ascii="Times New Roman" w:hAnsi="Times New Roman" w:eastAsia="宋体" w:cs="Times New Roman"/>
          <w:color w:val="222222"/>
          <w:sz w:val="18"/>
        </w:rPr>
        <w:t>Oyez · 判决摘要与庭审录音</w:t>
      </w:r>
    </w:p>
    <w:p>
      <w:pPr>
        <w:spacing w:after="180"/>
      </w:pPr>
      <w:r>
        <w:rPr>
          <w:rFonts w:ascii="Times New Roman" w:hAnsi="Times New Roman" w:eastAsia="宋体" w:cs="Times New Roman"/>
          <w:color w:val="808080"/>
          <w:sz w:val="16"/>
        </w:rPr>
        <w:t>https://www.oyez.org</w:t>
      </w:r>
    </w:p>
    <w:p>
      <w:pPr>
        <w:spacing w:before="320"/>
      </w:pPr>
      <w:r>
        <w:rPr>
          <w:rFonts w:ascii="Times New Roman" w:hAnsi="Times New Roman" w:eastAsia="宋体" w:cs="Times New Roman"/>
          <w:color w:val="808080"/>
          <w:sz w:val="16"/>
        </w:rPr>
        <w:t>本册由编译者整理排印 · 2026 年 10 月</w:t>
      </w:r>
    </w:p>
    <w:sectPr w:rsidR="00FC693F" w:rsidRPr="0006063C" w:rsidSect="00034616">
      <w:headerReference w:type="default" r:id="rId9"/>
      <w:footerReference w:type="default" r:id="rId10"/>
      <w:pgSz w:w="11906" w:h="16838"/>
      <w:pgMar w:top="1304" w:right="1417" w:bottom="124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808080"/>
        <w:sz w:val="18"/>
      </w:rPr>
      <w:t xml:space="preserve">—  </w:t>
    </w:r>
    <w:fldSimple w:instr=" PAGE ">
      <w:r>
        <w:rPr>
          <w:sz w:val="18"/>
        </w:rPr>
        <w:t>1</w:t>
      </w:r>
    </w:fldSimple>
    <w:r>
      <w:rPr>
        <w:rFonts w:ascii="Times New Roman" w:hAnsi="Times New Roman" w:eastAsia="宋体" w:cs="Times New Roman"/>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FBFBF"/>
      </w:pBdr>
      <w:jc w:val="center"/>
    </w:pPr>
    <w:r>
      <w:rPr>
        <w:rFonts w:ascii="Times New Roman" w:hAnsi="Times New Roman" w:eastAsia="宋体" w:cs="Times New Roman"/>
        <w:color w:val="808080"/>
        <w:sz w:val="17"/>
      </w:rPr>
      <w:t>美国执法机关 · 法案与判例选读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美国执法机关：法案与判例选读（中英对照）</dc:title>
  <dc:subject>US law enforcement: statutes, cases and agencies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