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120"/>
        <w:jc w:val="center"/>
      </w:pPr>
      <w:r>
        <w:rPr>
          <w:rFonts w:ascii="Times New Roman" w:hAnsi="Times New Roman" w:eastAsia="宋体" w:cs="Times New Roman"/>
          <w:color w:val="595959"/>
          <w:spacing w:val="80"/>
          <w:sz w:val="20"/>
        </w:rPr>
        <w:t>美利坚合众国经济文献</w:t>
      </w:r>
    </w:p>
    <w:p>
      <w:pPr>
        <w:pBdr>
          <w:bottom w:val="single" w:sz="8" w:space="14" w:color="1F3864"/>
        </w:pBdr>
        <w:spacing w:before="600" w:after="200"/>
        <w:jc w:val="center"/>
      </w:pPr>
      <w:r>
        <w:rPr>
          <w:rFonts w:ascii="黑体" w:hAnsi="黑体" w:eastAsia="黑体" w:cs="黑体"/>
          <w:b/>
          <w:color w:val="1F3864"/>
          <w:spacing w:val="60"/>
          <w:sz w:val="64"/>
        </w:rPr>
        <w:t>经济法选读</w:t>
      </w:r>
    </w:p>
    <w:p>
      <w:pPr>
        <w:spacing w:before="200" w:after="80"/>
        <w:jc w:val="center"/>
      </w:pPr>
      <w:r>
        <w:rPr>
          <w:rFonts w:ascii="Times New Roman" w:hAnsi="Times New Roman" w:eastAsia="宋体" w:cs="Times New Roman"/>
          <w:color w:val="595959"/>
          <w:sz w:val="30"/>
        </w:rPr>
        <w:t>Landmark Economic Statutes and Decisions of the United States</w:t>
      </w:r>
    </w:p>
    <w:p>
      <w:pPr>
        <w:spacing w:before="960" w:after="80"/>
        <w:jc w:val="center"/>
      </w:pPr>
      <w:r>
        <w:rPr>
          <w:rFonts w:ascii="Times New Roman" w:hAnsi="Times New Roman" w:eastAsia="宋体" w:cs="Times New Roman"/>
          <w:color w:val="222222"/>
          <w:sz w:val="22"/>
        </w:rPr>
        <w:t>商业条款 · 反托拉斯 · 证券与银行监管 · 劳工与新政（1824—2018）</w:t>
      </w:r>
    </w:p>
    <w:p>
      <w:pPr>
        <w:spacing w:before="4000" w:after="40"/>
        <w:jc w:val="center"/>
      </w:pPr>
      <w:r>
        <w:rPr>
          <w:rFonts w:ascii="Times New Roman" w:hAnsi="Times New Roman" w:eastAsia="宋体" w:cs="Times New Roman"/>
          <w:color w:val="808080"/>
          <w:sz w:val="17"/>
        </w:rPr>
        <w:t>法条与判决意见据美国法典、康奈尔法律信息研究所等公开文本逐字摘录</w:t>
      </w:r>
    </w:p>
    <w:p>
      <w:pPr>
        <w:jc w:val="center"/>
      </w:pPr>
      <w:r>
        <w:rPr>
          <w:rFonts w:ascii="Times New Roman" w:hAnsi="Times New Roman" w:eastAsia="宋体" w:cs="Times New Roman"/>
          <w:color w:val="808080"/>
          <w:sz w:val="17"/>
        </w:rPr>
        <w:t>英文原件转录本与简体中文译文对照</w:t>
      </w:r>
    </w:p>
    <w:p>
      <w:r>
        <w:br w:type="page"/>
      </w:r>
    </w:p>
    <w:p>
      <w:pPr>
        <w:pBdr>
          <w:bottom w:val="single" w:sz="4" w:space="4" w:color="BFBFBF"/>
        </w:pBdr>
        <w:spacing w:before="0" w:after="200"/>
      </w:pPr>
      <w:r>
        <w:rPr>
          <w:rFonts w:ascii="黑体" w:hAnsi="黑体" w:eastAsia="黑体" w:cs="黑体"/>
          <w:b/>
          <w:color w:val="1F3864"/>
          <w:sz w:val="26"/>
        </w:rPr>
        <w:t>导言</w:t>
      </w:r>
    </w:p>
    <w:p>
      <w:pPr>
        <w:spacing w:after="120" w:line="324" w:lineRule="auto"/>
        <w:ind w:firstLine="420"/>
        <w:jc w:val="both"/>
      </w:pPr>
      <w:r>
        <w:rPr>
          <w:rFonts w:ascii="Times New Roman" w:hAnsi="Times New Roman" w:eastAsia="宋体" w:cs="Times New Roman"/>
          <w:color w:val="222222"/>
          <w:sz w:val="19"/>
        </w:rPr>
        <w:t>美国经济法的骨架由三组问题搭成：联邦政府究竟能管多宽（商业条款），市场秩序由谁维持（反托拉斯与监管），以及危机时刻国家如何介入（新政、金融监管）。1824 年 Gibbons v. Ogden 把“commerce”解释为包括航运与交往，为联邦权力打开了大门；1877 年 Munn v. Illinois 则确认，影响公共利益的行业须接受费率规制。</w:t>
      </w:r>
    </w:p>
    <w:p>
      <w:pPr>
        <w:spacing w:after="120" w:line="324" w:lineRule="auto"/>
        <w:ind w:firstLine="420"/>
        <w:jc w:val="both"/>
      </w:pPr>
      <w:r>
        <w:rPr>
          <w:rFonts w:ascii="Times New Roman" w:hAnsi="Times New Roman" w:eastAsia="宋体" w:cs="Times New Roman"/>
          <w:color w:val="222222"/>
          <w:sz w:val="19"/>
        </w:rPr>
        <w:t>1890 年《谢尔曼法》开启了反托拉斯时代，1911 年 Standard Oil 案以“合理原则”取代条文的形式禁令；1914 年的《克莱顿法》与《联邦贸易委员会法》补上了并购与不公平竞争两块拼图。1930 年代新政把规制推向高峰：1935 年Schechter 案推翻了《全国工业复兴法》，1937 年 West Coast Hotel 案结束了洛克纳时代，1942 年 Wickard 案把商业条款扩张到“累积效应”，联邦权力由此抵达顶点。</w:t>
      </w:r>
    </w:p>
    <w:p>
      <w:pPr>
        <w:spacing w:after="120" w:line="324" w:lineRule="auto"/>
        <w:ind w:firstLine="420"/>
        <w:jc w:val="both"/>
      </w:pPr>
      <w:r>
        <w:rPr>
          <w:rFonts w:ascii="Times New Roman" w:hAnsi="Times New Roman" w:eastAsia="宋体" w:cs="Times New Roman"/>
          <w:color w:val="222222"/>
          <w:sz w:val="19"/>
        </w:rPr>
        <w:t>此后是钟摆：1995 年 Lopez 案六十年来首次以商业条款推翻联邦立法；2005 年 Kelo 案把“公共使用”扩展到经济发展，引发全国反弹；2012 年 NFIB 案认定商业条款不能强制个人购买保险，却允许以征税权维持；2018 年 American Express 案则要求反托拉斯分析把双边市场作为一个整体来看。这一编的十个判决与八部立法，标记了这条钟摆的每一次转向。</w:t>
      </w:r>
    </w:p>
    <w:p>
      <w:pPr>
        <w:pBdr>
          <w:bottom w:val="single" w:sz="4" w:space="4" w:color="BFBFBF"/>
        </w:pBdr>
        <w:spacing w:before="320" w:after="200"/>
      </w:pPr>
      <w:r>
        <w:rPr>
          <w:rFonts w:ascii="黑体" w:hAnsi="黑体" w:eastAsia="黑体" w:cs="黑体"/>
          <w:b/>
          <w:color w:val="1F3864"/>
          <w:sz w:val="26"/>
        </w:rPr>
        <w:t>编例</w:t>
      </w:r>
    </w:p>
    <w:p>
      <w:pPr>
        <w:spacing w:after="120" w:line="324" w:lineRule="auto"/>
        <w:ind w:firstLine="420"/>
        <w:jc w:val="both"/>
      </w:pPr>
      <w:r>
        <w:rPr>
          <w:rFonts w:ascii="Times New Roman" w:hAnsi="Times New Roman" w:eastAsia="宋体" w:cs="Times New Roman"/>
          <w:color w:val="222222"/>
          <w:sz w:val="19"/>
        </w:rPr>
        <w:t>一、法条与判决意见均据公开的官方文本逐字摘录，省略处以 [...] 标示；每条末尾注明所据网址。</w:t>
      </w:r>
    </w:p>
    <w:p>
      <w:pPr>
        <w:spacing w:after="120" w:line="324" w:lineRule="auto"/>
        <w:ind w:firstLine="420"/>
        <w:jc w:val="both"/>
      </w:pPr>
      <w:r>
        <w:rPr>
          <w:rFonts w:ascii="Times New Roman" w:hAnsi="Times New Roman" w:eastAsia="宋体" w:cs="Times New Roman"/>
          <w:color w:val="222222"/>
          <w:sz w:val="19"/>
        </w:rPr>
        <w:t>二、法条以现行《美国法典》编纂文本为准，条文序号沿用官方格式；历史条文（如已被取代的条款）在导语中注明。</w:t>
      </w:r>
    </w:p>
    <w:p>
      <w:pPr>
        <w:spacing w:after="120" w:line="324" w:lineRule="auto"/>
        <w:ind w:firstLine="420"/>
        <w:jc w:val="both"/>
      </w:pPr>
      <w:r>
        <w:rPr>
          <w:rFonts w:ascii="Times New Roman" w:hAnsi="Times New Roman" w:eastAsia="宋体" w:cs="Times New Roman"/>
          <w:color w:val="222222"/>
          <w:sz w:val="19"/>
        </w:rPr>
        <w:t>三、判决部分只摘录表述裁判理由的关键段落，事实、争点与影响由编者以中文概述。</w:t>
      </w:r>
    </w:p>
    <w:p>
      <w:pPr>
        <w:spacing w:after="120" w:line="324" w:lineRule="auto"/>
        <w:ind w:firstLine="420"/>
        <w:jc w:val="both"/>
      </w:pPr>
      <w:r>
        <w:rPr>
          <w:rFonts w:ascii="Times New Roman" w:hAnsi="Times New Roman" w:eastAsia="宋体" w:cs="Times New Roman"/>
          <w:color w:val="222222"/>
          <w:sz w:val="19"/>
        </w:rPr>
        <w:t>四、中文译文为研究与教学参考，不是官方译本；引用时请以英文原文与官方报告卷页为准。</w:t>
      </w:r>
    </w:p>
    <w:p>
      <w:pPr>
        <w:spacing w:after="120" w:line="324" w:lineRule="auto"/>
        <w:ind w:firstLine="420"/>
        <w:jc w:val="both"/>
      </w:pPr>
      <w:r>
        <w:rPr>
          <w:rFonts w:ascii="Times New Roman" w:hAnsi="Times New Roman" w:eastAsia="宋体" w:cs="Times New Roman"/>
          <w:color w:val="222222"/>
          <w:sz w:val="19"/>
        </w:rPr>
        <w:t>五、本编所称“经济法”取广义：包括商业条款、反托拉斯、证券与银行监管、劳工标准与征收（takings）。</w:t>
      </w:r>
    </w:p>
    <w:p>
      <w:r>
        <w:br w:type="page"/>
      </w:r>
    </w:p>
    <w:p>
      <w:pPr>
        <w:pBdr>
          <w:bottom w:val="single" w:sz="8" w:space="6" w:color="1F3864"/>
        </w:pBdr>
        <w:spacing w:after="80"/>
      </w:pPr>
      <w:r>
        <w:rPr>
          <w:rFonts w:ascii="黑体" w:hAnsi="黑体" w:eastAsia="黑体" w:cs="黑体"/>
          <w:b/>
          <w:color w:val="1F3864"/>
          <w:sz w:val="32"/>
        </w:rPr>
        <w:t>经济法大事年表</w:t>
      </w:r>
    </w:p>
    <w:p>
      <w:pPr>
        <w:spacing w:after="280"/>
      </w:pPr>
      <w:r>
        <w:rPr>
          <w:rFonts w:ascii="Times New Roman" w:hAnsi="Times New Roman" w:eastAsia="宋体" w:cs="Times New Roman"/>
          <w:color w:val="808080"/>
          <w:sz w:val="18"/>
        </w:rPr>
        <w:t>Chronology, 1824-2018</w:t>
      </w:r>
    </w:p>
    <w:p>
      <w:pPr>
        <w:spacing w:after="80" w:line="300" w:lineRule="auto"/>
        <w:ind w:left="879" w:hanging="879"/>
      </w:pPr>
      <w:r>
        <w:rPr>
          <w:rFonts w:ascii="Times New Roman" w:hAnsi="Times New Roman" w:eastAsia="宋体" w:cs="Times New Roman"/>
          <w:b/>
          <w:color w:val="1F3864"/>
          <w:sz w:val="19"/>
        </w:rPr>
        <w:t xml:space="preserve">1824　</w:t>
      </w:r>
      <w:r>
        <w:rPr>
          <w:rFonts w:ascii="Times New Roman" w:hAnsi="Times New Roman" w:eastAsia="宋体" w:cs="Times New Roman"/>
          <w:color w:val="222222"/>
          <w:sz w:val="19"/>
        </w:rPr>
        <w:t>Gibbons v. Ogden：商业条款涵盖航运，联邦许可优先于州垄断。</w:t>
      </w:r>
    </w:p>
    <w:p>
      <w:pPr>
        <w:spacing w:after="80" w:line="300" w:lineRule="auto"/>
        <w:ind w:left="879" w:hanging="879"/>
      </w:pPr>
      <w:r>
        <w:rPr>
          <w:rFonts w:ascii="Times New Roman" w:hAnsi="Times New Roman" w:eastAsia="宋体" w:cs="Times New Roman"/>
          <w:b/>
          <w:color w:val="1F3864"/>
          <w:sz w:val="19"/>
        </w:rPr>
        <w:t xml:space="preserve">1877　</w:t>
      </w:r>
      <w:r>
        <w:rPr>
          <w:rFonts w:ascii="Times New Roman" w:hAnsi="Times New Roman" w:eastAsia="宋体" w:cs="Times New Roman"/>
          <w:color w:val="222222"/>
          <w:sz w:val="19"/>
        </w:rPr>
        <w:t>Munn v. Illinois：影响公共利益的行业可受费率规制。</w:t>
      </w:r>
    </w:p>
    <w:p>
      <w:pPr>
        <w:spacing w:after="80" w:line="300" w:lineRule="auto"/>
        <w:ind w:left="879" w:hanging="879"/>
      </w:pPr>
      <w:r>
        <w:rPr>
          <w:rFonts w:ascii="Times New Roman" w:hAnsi="Times New Roman" w:eastAsia="宋体" w:cs="Times New Roman"/>
          <w:b/>
          <w:color w:val="1F3864"/>
          <w:sz w:val="19"/>
        </w:rPr>
        <w:t xml:space="preserve">1887　</w:t>
      </w:r>
      <w:r>
        <w:rPr>
          <w:rFonts w:ascii="Times New Roman" w:hAnsi="Times New Roman" w:eastAsia="宋体" w:cs="Times New Roman"/>
          <w:color w:val="222222"/>
          <w:sz w:val="19"/>
        </w:rPr>
        <w:t>《州际贸易法》设立州际贸易委员会，联邦经济监管起步。</w:t>
      </w:r>
    </w:p>
    <w:p>
      <w:pPr>
        <w:spacing w:after="80" w:line="300" w:lineRule="auto"/>
        <w:ind w:left="879" w:hanging="879"/>
      </w:pPr>
      <w:r>
        <w:rPr>
          <w:rFonts w:ascii="Times New Roman" w:hAnsi="Times New Roman" w:eastAsia="宋体" w:cs="Times New Roman"/>
          <w:b/>
          <w:color w:val="1F3864"/>
          <w:sz w:val="19"/>
        </w:rPr>
        <w:t xml:space="preserve">1890　</w:t>
      </w:r>
      <w:r>
        <w:rPr>
          <w:rFonts w:ascii="Times New Roman" w:hAnsi="Times New Roman" w:eastAsia="宋体" w:cs="Times New Roman"/>
          <w:color w:val="222222"/>
          <w:sz w:val="19"/>
        </w:rPr>
        <w:t>《谢尔曼反托拉斯法》通过。</w:t>
      </w:r>
    </w:p>
    <w:p>
      <w:pPr>
        <w:spacing w:after="80" w:line="300" w:lineRule="auto"/>
        <w:ind w:left="879" w:hanging="879"/>
      </w:pPr>
      <w:r>
        <w:rPr>
          <w:rFonts w:ascii="Times New Roman" w:hAnsi="Times New Roman" w:eastAsia="宋体" w:cs="Times New Roman"/>
          <w:b/>
          <w:color w:val="1F3864"/>
          <w:sz w:val="19"/>
        </w:rPr>
        <w:t xml:space="preserve">1911　</w:t>
      </w:r>
      <w:r>
        <w:rPr>
          <w:rFonts w:ascii="Times New Roman" w:hAnsi="Times New Roman" w:eastAsia="宋体" w:cs="Times New Roman"/>
          <w:color w:val="222222"/>
          <w:sz w:val="19"/>
        </w:rPr>
        <w:t>Standard Oil 案：确立“合理原则”，标准石油被拆分。</w:t>
      </w:r>
    </w:p>
    <w:p>
      <w:pPr>
        <w:spacing w:after="80" w:line="300" w:lineRule="auto"/>
        <w:ind w:left="879" w:hanging="879"/>
      </w:pPr>
      <w:r>
        <w:rPr>
          <w:rFonts w:ascii="Times New Roman" w:hAnsi="Times New Roman" w:eastAsia="宋体" w:cs="Times New Roman"/>
          <w:b/>
          <w:color w:val="1F3864"/>
          <w:sz w:val="19"/>
        </w:rPr>
        <w:t xml:space="preserve">1913　</w:t>
      </w:r>
      <w:r>
        <w:rPr>
          <w:rFonts w:ascii="Times New Roman" w:hAnsi="Times New Roman" w:eastAsia="宋体" w:cs="Times New Roman"/>
          <w:color w:val="222222"/>
          <w:sz w:val="19"/>
        </w:rPr>
        <w:t>《联邦储备法》设立美联储。</w:t>
      </w:r>
    </w:p>
    <w:p>
      <w:pPr>
        <w:spacing w:after="80" w:line="300" w:lineRule="auto"/>
        <w:ind w:left="879" w:hanging="879"/>
      </w:pPr>
      <w:r>
        <w:rPr>
          <w:rFonts w:ascii="Times New Roman" w:hAnsi="Times New Roman" w:eastAsia="宋体" w:cs="Times New Roman"/>
          <w:b/>
          <w:color w:val="1F3864"/>
          <w:sz w:val="19"/>
        </w:rPr>
        <w:t xml:space="preserve">1914　</w:t>
      </w:r>
      <w:r>
        <w:rPr>
          <w:rFonts w:ascii="Times New Roman" w:hAnsi="Times New Roman" w:eastAsia="宋体" w:cs="Times New Roman"/>
          <w:color w:val="222222"/>
          <w:sz w:val="19"/>
        </w:rPr>
        <w:t>《克莱顿法》与《联邦贸易委员会法》通过，FTC 成立。</w:t>
      </w:r>
    </w:p>
    <w:p>
      <w:pPr>
        <w:spacing w:after="80" w:line="300" w:lineRule="auto"/>
        <w:ind w:left="879" w:hanging="879"/>
      </w:pPr>
      <w:r>
        <w:rPr>
          <w:rFonts w:ascii="Times New Roman" w:hAnsi="Times New Roman" w:eastAsia="宋体" w:cs="Times New Roman"/>
          <w:b/>
          <w:color w:val="1F3864"/>
          <w:sz w:val="19"/>
        </w:rPr>
        <w:t xml:space="preserve">1933　</w:t>
      </w:r>
      <w:r>
        <w:rPr>
          <w:rFonts w:ascii="Times New Roman" w:hAnsi="Times New Roman" w:eastAsia="宋体" w:cs="Times New Roman"/>
          <w:color w:val="222222"/>
          <w:sz w:val="19"/>
        </w:rPr>
        <w:t>《证券法》《格拉斯-斯蒂格尔法》通过，存款保险与分业经营确立。</w:t>
      </w:r>
    </w:p>
    <w:p>
      <w:pPr>
        <w:spacing w:after="80" w:line="300" w:lineRule="auto"/>
        <w:ind w:left="879" w:hanging="879"/>
      </w:pPr>
      <w:r>
        <w:rPr>
          <w:rFonts w:ascii="Times New Roman" w:hAnsi="Times New Roman" w:eastAsia="宋体" w:cs="Times New Roman"/>
          <w:b/>
          <w:color w:val="1F3864"/>
          <w:sz w:val="19"/>
        </w:rPr>
        <w:t xml:space="preserve">1934　</w:t>
      </w:r>
      <w:r>
        <w:rPr>
          <w:rFonts w:ascii="Times New Roman" w:hAnsi="Times New Roman" w:eastAsia="宋体" w:cs="Times New Roman"/>
          <w:color w:val="222222"/>
          <w:sz w:val="19"/>
        </w:rPr>
        <w:t>《证券交易法》通过，SEC 成立。</w:t>
      </w:r>
    </w:p>
    <w:p>
      <w:pPr>
        <w:spacing w:after="80" w:line="300" w:lineRule="auto"/>
        <w:ind w:left="879" w:hanging="879"/>
      </w:pPr>
      <w:r>
        <w:rPr>
          <w:rFonts w:ascii="Times New Roman" w:hAnsi="Times New Roman" w:eastAsia="宋体" w:cs="Times New Roman"/>
          <w:b/>
          <w:color w:val="1F3864"/>
          <w:sz w:val="19"/>
        </w:rPr>
        <w:t xml:space="preserve">1935　</w:t>
      </w:r>
      <w:r>
        <w:rPr>
          <w:rFonts w:ascii="Times New Roman" w:hAnsi="Times New Roman" w:eastAsia="宋体" w:cs="Times New Roman"/>
          <w:color w:val="222222"/>
          <w:sz w:val="19"/>
        </w:rPr>
        <w:t>《全国劳工关系法》通过；Schechter 案推翻《全国工业复兴法》。</w:t>
      </w:r>
    </w:p>
    <w:p>
      <w:pPr>
        <w:spacing w:after="80" w:line="300" w:lineRule="auto"/>
        <w:ind w:left="879" w:hanging="879"/>
      </w:pPr>
      <w:r>
        <w:rPr>
          <w:rFonts w:ascii="Times New Roman" w:hAnsi="Times New Roman" w:eastAsia="宋体" w:cs="Times New Roman"/>
          <w:b/>
          <w:color w:val="1F3864"/>
          <w:sz w:val="19"/>
        </w:rPr>
        <w:t xml:space="preserve">1937　</w:t>
      </w:r>
      <w:r>
        <w:rPr>
          <w:rFonts w:ascii="Times New Roman" w:hAnsi="Times New Roman" w:eastAsia="宋体" w:cs="Times New Roman"/>
          <w:color w:val="222222"/>
          <w:sz w:val="19"/>
        </w:rPr>
        <w:t>West Coast Hotel 案：结束洛克纳时代。</w:t>
      </w:r>
    </w:p>
    <w:p>
      <w:pPr>
        <w:spacing w:after="80" w:line="300" w:lineRule="auto"/>
        <w:ind w:left="879" w:hanging="879"/>
      </w:pPr>
      <w:r>
        <w:rPr>
          <w:rFonts w:ascii="Times New Roman" w:hAnsi="Times New Roman" w:eastAsia="宋体" w:cs="Times New Roman"/>
          <w:b/>
          <w:color w:val="1F3864"/>
          <w:sz w:val="19"/>
        </w:rPr>
        <w:t xml:space="preserve">1938　</w:t>
      </w:r>
      <w:r>
        <w:rPr>
          <w:rFonts w:ascii="Times New Roman" w:hAnsi="Times New Roman" w:eastAsia="宋体" w:cs="Times New Roman"/>
          <w:color w:val="222222"/>
          <w:sz w:val="19"/>
        </w:rPr>
        <w:t>《公平劳动标准法》确立最低工资与加班费。</w:t>
      </w:r>
    </w:p>
    <w:p>
      <w:pPr>
        <w:spacing w:after="80" w:line="300" w:lineRule="auto"/>
        <w:ind w:left="879" w:hanging="879"/>
      </w:pPr>
      <w:r>
        <w:rPr>
          <w:rFonts w:ascii="Times New Roman" w:hAnsi="Times New Roman" w:eastAsia="宋体" w:cs="Times New Roman"/>
          <w:b/>
          <w:color w:val="1F3864"/>
          <w:sz w:val="19"/>
        </w:rPr>
        <w:t xml:space="preserve">1942　</w:t>
      </w:r>
      <w:r>
        <w:rPr>
          <w:rFonts w:ascii="Times New Roman" w:hAnsi="Times New Roman" w:eastAsia="宋体" w:cs="Times New Roman"/>
          <w:color w:val="222222"/>
          <w:sz w:val="19"/>
        </w:rPr>
        <w:t>Wickard v. Filburn：商业条款扩张至“累积效应”。</w:t>
      </w:r>
    </w:p>
    <w:p>
      <w:pPr>
        <w:spacing w:after="80" w:line="300" w:lineRule="auto"/>
        <w:ind w:left="879" w:hanging="879"/>
      </w:pPr>
      <w:r>
        <w:rPr>
          <w:rFonts w:ascii="Times New Roman" w:hAnsi="Times New Roman" w:eastAsia="宋体" w:cs="Times New Roman"/>
          <w:b/>
          <w:color w:val="1F3864"/>
          <w:sz w:val="19"/>
        </w:rPr>
        <w:t xml:space="preserve">1950　</w:t>
      </w:r>
      <w:r>
        <w:rPr>
          <w:rFonts w:ascii="Times New Roman" w:hAnsi="Times New Roman" w:eastAsia="宋体" w:cs="Times New Roman"/>
          <w:color w:val="222222"/>
          <w:sz w:val="19"/>
        </w:rPr>
        <w:t>《塞勒-凯福弗法》把《克莱顿法》第 7 条扩展到资产收购。</w:t>
      </w:r>
    </w:p>
    <w:p>
      <w:pPr>
        <w:spacing w:after="80" w:line="300" w:lineRule="auto"/>
        <w:ind w:left="879" w:hanging="879"/>
      </w:pPr>
      <w:r>
        <w:rPr>
          <w:rFonts w:ascii="Times New Roman" w:hAnsi="Times New Roman" w:eastAsia="宋体" w:cs="Times New Roman"/>
          <w:b/>
          <w:color w:val="1F3864"/>
          <w:sz w:val="19"/>
        </w:rPr>
        <w:t xml:space="preserve">1995　</w:t>
      </w:r>
      <w:r>
        <w:rPr>
          <w:rFonts w:ascii="Times New Roman" w:hAnsi="Times New Roman" w:eastAsia="宋体" w:cs="Times New Roman"/>
          <w:color w:val="222222"/>
          <w:sz w:val="19"/>
        </w:rPr>
        <w:t>United States v. Lopez：六十年来首次以商业条款推翻联邦立法。</w:t>
      </w:r>
    </w:p>
    <w:p>
      <w:pPr>
        <w:spacing w:after="80" w:line="300" w:lineRule="auto"/>
        <w:ind w:left="879" w:hanging="879"/>
      </w:pPr>
      <w:r>
        <w:rPr>
          <w:rFonts w:ascii="Times New Roman" w:hAnsi="Times New Roman" w:eastAsia="宋体" w:cs="Times New Roman"/>
          <w:b/>
          <w:color w:val="1F3864"/>
          <w:sz w:val="19"/>
        </w:rPr>
        <w:t xml:space="preserve">2005　</w:t>
      </w:r>
      <w:r>
        <w:rPr>
          <w:rFonts w:ascii="Times New Roman" w:hAnsi="Times New Roman" w:eastAsia="宋体" w:cs="Times New Roman"/>
          <w:color w:val="222222"/>
          <w:sz w:val="19"/>
        </w:rPr>
        <w:t>Kelo v. New London：经济发展构成“公共使用”。</w:t>
      </w:r>
    </w:p>
    <w:p>
      <w:pPr>
        <w:spacing w:after="80" w:line="300" w:lineRule="auto"/>
        <w:ind w:left="879" w:hanging="879"/>
      </w:pPr>
      <w:r>
        <w:rPr>
          <w:rFonts w:ascii="Times New Roman" w:hAnsi="Times New Roman" w:eastAsia="宋体" w:cs="Times New Roman"/>
          <w:b/>
          <w:color w:val="1F3864"/>
          <w:sz w:val="19"/>
        </w:rPr>
        <w:t xml:space="preserve">2008　</w:t>
      </w:r>
      <w:r>
        <w:rPr>
          <w:rFonts w:ascii="Times New Roman" w:hAnsi="Times New Roman" w:eastAsia="宋体" w:cs="Times New Roman"/>
          <w:color w:val="222222"/>
          <w:sz w:val="19"/>
        </w:rPr>
        <w:t>金融危机；联邦储备与财政部大规模干预。</w:t>
      </w:r>
    </w:p>
    <w:p>
      <w:pPr>
        <w:spacing w:after="80" w:line="300" w:lineRule="auto"/>
        <w:ind w:left="879" w:hanging="879"/>
      </w:pPr>
      <w:r>
        <w:rPr>
          <w:rFonts w:ascii="Times New Roman" w:hAnsi="Times New Roman" w:eastAsia="宋体" w:cs="Times New Roman"/>
          <w:b/>
          <w:color w:val="1F3864"/>
          <w:sz w:val="19"/>
        </w:rPr>
        <w:t xml:space="preserve">2010　</w:t>
      </w:r>
      <w:r>
        <w:rPr>
          <w:rFonts w:ascii="Times New Roman" w:hAnsi="Times New Roman" w:eastAsia="宋体" w:cs="Times New Roman"/>
          <w:color w:val="222222"/>
          <w:sz w:val="19"/>
        </w:rPr>
        <w:t>《多德-弗兰克法》通过，设沃尔克规则与消费者金融保护局。</w:t>
      </w:r>
    </w:p>
    <w:p>
      <w:pPr>
        <w:spacing w:after="80" w:line="300" w:lineRule="auto"/>
        <w:ind w:left="879" w:hanging="879"/>
      </w:pPr>
      <w:r>
        <w:rPr>
          <w:rFonts w:ascii="Times New Roman" w:hAnsi="Times New Roman" w:eastAsia="宋体" w:cs="Times New Roman"/>
          <w:b/>
          <w:color w:val="1F3864"/>
          <w:sz w:val="19"/>
        </w:rPr>
        <w:t xml:space="preserve">2012　</w:t>
      </w:r>
      <w:r>
        <w:rPr>
          <w:rFonts w:ascii="Times New Roman" w:hAnsi="Times New Roman" w:eastAsia="宋体" w:cs="Times New Roman"/>
          <w:color w:val="222222"/>
          <w:sz w:val="19"/>
        </w:rPr>
        <w:t>NFIB v. Sebelius：强制参保不能依商业条款，但可依征税权维持。</w:t>
      </w:r>
    </w:p>
    <w:p>
      <w:pPr>
        <w:spacing w:after="80" w:line="300" w:lineRule="auto"/>
        <w:ind w:left="879" w:hanging="879"/>
      </w:pPr>
      <w:r>
        <w:rPr>
          <w:rFonts w:ascii="Times New Roman" w:hAnsi="Times New Roman" w:eastAsia="宋体" w:cs="Times New Roman"/>
          <w:b/>
          <w:color w:val="1F3864"/>
          <w:sz w:val="19"/>
        </w:rPr>
        <w:t xml:space="preserve">2018　</w:t>
      </w:r>
      <w:r>
        <w:rPr>
          <w:rFonts w:ascii="Times New Roman" w:hAnsi="Times New Roman" w:eastAsia="宋体" w:cs="Times New Roman"/>
          <w:color w:val="222222"/>
          <w:sz w:val="19"/>
        </w:rPr>
        <w:t>Ohio v. American Express：双边市场的反托拉斯分析。</w:t>
      </w:r>
    </w:p>
    <w:p>
      <w:pPr>
        <w:pBdr>
          <w:bottom w:val="single" w:sz="4" w:space="6" w:color="BFBFBF"/>
        </w:pBdr>
        <w:spacing w:before="1280" w:after="280"/>
      </w:pPr>
      <w:r>
        <w:rPr>
          <w:rFonts w:ascii="Times New Roman" w:hAnsi="Times New Roman" w:eastAsia="宋体" w:cs="Times New Roman"/>
          <w:sz w:val="4"/>
        </w:rPr>
      </w:r>
    </w:p>
    <w:p>
      <w:pPr>
        <w:keepNext/>
        <w:spacing w:after="160"/>
        <w:jc w:val="center"/>
      </w:pPr>
      <w:r>
        <w:rPr>
          <w:rFonts w:ascii="Times New Roman" w:hAnsi="Times New Roman" w:eastAsia="宋体" w:cs="Times New Roman"/>
          <w:color w:val="595959"/>
          <w:spacing w:val="100"/>
          <w:sz w:val="19"/>
        </w:rPr>
        <w:t>上编</w:t>
      </w:r>
    </w:p>
    <w:p>
      <w:pPr>
        <w:keepNext/>
        <w:spacing w:before="0" w:after="160"/>
        <w:jc w:val="center"/>
      </w:pPr>
      <w:r>
        <w:rPr>
          <w:rFonts w:ascii="黑体" w:hAnsi="黑体" w:eastAsia="黑体" w:cs="黑体"/>
          <w:b/>
          <w:color w:val="1F3864"/>
          <w:sz w:val="44"/>
        </w:rPr>
        <w:t>法案与条文</w:t>
      </w:r>
    </w:p>
    <w:p>
      <w:pPr>
        <w:keepNext/>
        <w:spacing w:after="200"/>
        <w:jc w:val="center"/>
      </w:pPr>
      <w:r>
        <w:rPr>
          <w:rFonts w:ascii="Times New Roman" w:hAnsi="Times New Roman" w:eastAsia="宋体" w:cs="Times New Roman"/>
          <w:color w:val="595959"/>
          <w:sz w:val="21"/>
        </w:rPr>
        <w:t>Statutes</w:t>
      </w:r>
    </w:p>
    <w:p>
      <w:pPr>
        <w:spacing w:before="160"/>
        <w:jc w:val="center"/>
      </w:pPr>
      <w:r>
        <w:rPr>
          <w:rFonts w:ascii="Times New Roman" w:hAnsi="Times New Roman" w:eastAsia="宋体" w:cs="Times New Roman"/>
          <w:color w:val="808080"/>
          <w:sz w:val="19"/>
        </w:rPr>
        <w:t>八部立法：从《谢尔曼法》到《多德-弗兰克法》</w:t>
      </w:r>
    </w:p>
    <w:p>
      <w:pPr>
        <w:keepNext/>
        <w:spacing w:before="400" w:after="40"/>
      </w:pPr>
      <w:r>
        <w:rPr>
          <w:rFonts w:ascii="黑体" w:hAnsi="黑体" w:eastAsia="黑体" w:cs="黑体"/>
          <w:b/>
          <w:color w:val="1F3864"/>
          <w:sz w:val="26"/>
        </w:rPr>
        <w:t>《谢尔曼反托拉斯法》第 1 条</w:t>
      </w:r>
    </w:p>
    <w:p>
      <w:pPr>
        <w:keepNext/>
        <w:spacing w:after="60"/>
      </w:pPr>
      <w:r>
        <w:rPr>
          <w:rFonts w:ascii="Times New Roman" w:hAnsi="Times New Roman" w:eastAsia="宋体" w:cs="Times New Roman"/>
          <w:color w:val="595959"/>
          <w:sz w:val="18"/>
        </w:rPr>
        <w:t>Sherman Antitrust Act (1890), § 1 (15 U.S.C. § 1)</w:t>
      </w:r>
    </w:p>
    <w:p>
      <w:pPr>
        <w:keepNext/>
        <w:spacing w:after="160"/>
      </w:pPr>
      <w:r>
        <w:rPr>
          <w:rFonts w:ascii="Times New Roman" w:hAnsi="Times New Roman" w:eastAsia="宋体" w:cs="Times New Roman"/>
          <w:color w:val="808080"/>
          <w:sz w:val="16"/>
        </w:rPr>
        <w:t>1890 年 7 月 2 日签署 · 公法 51-647</w:t>
      </w:r>
    </w:p>
    <w:p>
      <w:pPr>
        <w:keepNext/>
        <w:spacing w:after="120" w:line="336" w:lineRule="auto"/>
        <w:jc w:val="both"/>
      </w:pPr>
      <w:r>
        <w:rPr>
          <w:rFonts w:ascii="Times New Roman" w:hAnsi="Times New Roman" w:eastAsia="宋体" w:cs="Times New Roman"/>
          <w:color w:val="222222"/>
          <w:sz w:val="19"/>
        </w:rPr>
        <w:t>禁止以合同、托拉斯或其他形式的合并、共谋限制州际与对外贸易。条文看似绝对，但 1911 年 Standard Oil 案确立了“合理原则”：只有不合理的限制才违法。</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Every contract, combination in the form of trust or otherwise, or conspiracy, in restraint of trade or commerce among the several States, or with foreign nations, is declared to be illegal. Every person who shall make any contract or engage in any combination or conspiracy hereby declared to be illegal shall be deemed guilty of a felony, and, on conviction thereof, shall be punished by fine not exceeding $100,000,000 if a corporation, or, if any other person, $1,000,000, or by imprisonment not exceeding 10 years, or by both said punishments, in the discretion of the court.</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任何以托拉斯或其他形式作出的合同、联合，或共谋，限制几个州之间或与外国之间的贸易或商业的，均被宣布为非法。任何订立被本条宣布为非法的合同、参与被本条宣布为非法的联合或共谋的人，应被视为犯有重罪，并于此定罪后，处不超过100,000,000美元的罚金（如为法人），或如为其他任何人，处不超过1,000,000美元的罚金，或处不超过10年的监禁，或并处上述刑罚，由法院裁量。</w:t>
      </w:r>
      <w:r>
        <w:br/>
      </w:r>
      <w:r>
        <w:rPr>
          <w:rFonts w:ascii="Times New Roman" w:hAnsi="Times New Roman" w:eastAsia="宋体" w:cs="Times New Roman"/>
          <w:color w:val="808080"/>
          <w:sz w:val="15"/>
        </w:rPr>
        <w:t>来源：https://www.law.cornell.edu/uscode/text/15/1</w:t>
      </w:r>
    </w:p>
    <w:p>
      <w:pPr>
        <w:keepNext/>
        <w:spacing w:before="400" w:after="40"/>
      </w:pPr>
      <w:r>
        <w:rPr>
          <w:rFonts w:ascii="黑体" w:hAnsi="黑体" w:eastAsia="黑体" w:cs="黑体"/>
          <w:b/>
          <w:color w:val="1F3864"/>
          <w:sz w:val="26"/>
        </w:rPr>
        <w:t>《谢尔曼反托拉斯法》第 2 条</w:t>
      </w:r>
    </w:p>
    <w:p>
      <w:pPr>
        <w:keepNext/>
        <w:spacing w:after="60"/>
      </w:pPr>
      <w:r>
        <w:rPr>
          <w:rFonts w:ascii="Times New Roman" w:hAnsi="Times New Roman" w:eastAsia="宋体" w:cs="Times New Roman"/>
          <w:color w:val="595959"/>
          <w:sz w:val="18"/>
        </w:rPr>
        <w:t>Sherman Antitrust Act (1890), § 2 (15 U.S.C. § 2)</w:t>
      </w:r>
    </w:p>
    <w:p>
      <w:pPr>
        <w:keepNext/>
        <w:spacing w:after="160"/>
      </w:pPr>
      <w:r>
        <w:rPr>
          <w:rFonts w:ascii="Times New Roman" w:hAnsi="Times New Roman" w:eastAsia="宋体" w:cs="Times New Roman"/>
          <w:color w:val="808080"/>
          <w:sz w:val="16"/>
        </w:rPr>
        <w:t>1890 年 7 月 2 日签署 · 公法 51-647</w:t>
      </w:r>
    </w:p>
    <w:p>
      <w:pPr>
        <w:keepNext/>
        <w:spacing w:after="120" w:line="336" w:lineRule="auto"/>
        <w:jc w:val="both"/>
      </w:pPr>
      <w:r>
        <w:rPr>
          <w:rFonts w:ascii="Times New Roman" w:hAnsi="Times New Roman" w:eastAsia="宋体" w:cs="Times New Roman"/>
          <w:color w:val="222222"/>
          <w:sz w:val="19"/>
        </w:rPr>
        <w:t>禁止垄断、企图垄断或共谋垄断任何部分的州际与对外贸易。它是拆分标准石油（1911）、美国电话电报公司（1984）与推动微软案（2001）的法律依据。</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Every person who shall monopolize, or attempt to monopolize, or combine or conspire with any other person or persons, to monopolize any part of the trade or commerce among the several States, or with foreign nations, shall be deemed guilty of a felony, and, on conviction thereof, shall be punished by fine not exceeding $100,000,000 if a corporation, or, if any other person, $1,000,000, or by imprisonment not exceeding 10 years, or by both said punishments, in the discretion of the court.</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任何垄断，或企图垄断，或与任何其他人联合或共谋，以垄断几个州之间或与外国之间的贸易或商业的任何部分的人，应被视为犯有重罪，并于此定罪后，处不超过100,000,000美元的罚金（如为法人），或如为其他任何人，处不超过1,000,000美元的罚金，或处不超过10年的监禁，或并处上述刑罚，由法院裁量。</w:t>
      </w:r>
      <w:r>
        <w:br/>
      </w:r>
      <w:r>
        <w:rPr>
          <w:rFonts w:ascii="Times New Roman" w:hAnsi="Times New Roman" w:eastAsia="宋体" w:cs="Times New Roman"/>
          <w:color w:val="808080"/>
          <w:sz w:val="15"/>
        </w:rPr>
        <w:t>来源：https://www.law.cornell.edu/uscode/text/15/2</w:t>
      </w:r>
    </w:p>
    <w:p>
      <w:pPr>
        <w:keepNext/>
        <w:spacing w:before="400" w:after="40"/>
      </w:pPr>
      <w:r>
        <w:rPr>
          <w:rFonts w:ascii="黑体" w:hAnsi="黑体" w:eastAsia="黑体" w:cs="黑体"/>
          <w:b/>
          <w:color w:val="1F3864"/>
          <w:sz w:val="26"/>
        </w:rPr>
        <w:t>《克莱顿反托拉斯法》第 7 条</w:t>
      </w:r>
    </w:p>
    <w:p>
      <w:pPr>
        <w:keepNext/>
        <w:spacing w:after="60"/>
      </w:pPr>
      <w:r>
        <w:rPr>
          <w:rFonts w:ascii="Times New Roman" w:hAnsi="Times New Roman" w:eastAsia="宋体" w:cs="Times New Roman"/>
          <w:color w:val="595959"/>
          <w:sz w:val="18"/>
        </w:rPr>
        <w:t>Clayton Antitrust Act (1914), § 7 (15 U.S.C. § 18)</w:t>
      </w:r>
    </w:p>
    <w:p>
      <w:pPr>
        <w:keepNext/>
        <w:spacing w:after="160"/>
      </w:pPr>
      <w:r>
        <w:rPr>
          <w:rFonts w:ascii="Times New Roman" w:hAnsi="Times New Roman" w:eastAsia="宋体" w:cs="Times New Roman"/>
          <w:color w:val="808080"/>
          <w:sz w:val="16"/>
        </w:rPr>
        <w:t>1914 年 10 月 15 日签署 · 1950 年《塞勒-凯福弗法》修正</w:t>
      </w:r>
    </w:p>
    <w:p>
      <w:pPr>
        <w:keepNext/>
        <w:spacing w:after="120" w:line="336" w:lineRule="auto"/>
        <w:jc w:val="both"/>
      </w:pPr>
      <w:r>
        <w:rPr>
          <w:rFonts w:ascii="Times New Roman" w:hAnsi="Times New Roman" w:eastAsia="宋体" w:cs="Times New Roman"/>
          <w:color w:val="222222"/>
          <w:sz w:val="19"/>
        </w:rPr>
        <w:t>禁止可能实质减少竞争或趋向形成垄断的并购。1914 年原文只管股票收购，1950 年修正后扩展到资产收购，成为现代并购审查的核心条文。</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No person engaged in commerce or in any activity affecting commerce shall acquire, directly or indirectly, the whole or any part of the stock or other share capital and no person subject to the jurisdiction of the Federal Trade Commission shall acquire the whole or any part of the assets of another person engaged also in commerce or in any activity affecting commerce, where in any line of commerce or in any activity affecting commerce in any section of the country, the effect of such acquisition may be substantially to lessen competition, or to tend to create a monopoly.</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任何从事商业或从事任何影响商业的活动的人，不得直接或间接取得全部或任何部分股份或其他股本；任何受联邦贸易委员会管辖的人，亦不得取得同样从事商业或从事任何影响商业的活动的另一人的全部或任何部分资产，如在该国任何地区的任何商业行业或任何影响商业的活动中，该取得的效果可能实质减少竞争，或可能趋向于形成垄断。</w:t>
      </w:r>
      <w:r>
        <w:br/>
      </w:r>
      <w:r>
        <w:rPr>
          <w:rFonts w:ascii="Times New Roman" w:hAnsi="Times New Roman" w:eastAsia="宋体" w:cs="Times New Roman"/>
          <w:color w:val="808080"/>
          <w:sz w:val="15"/>
        </w:rPr>
        <w:t>来源：https://www.law.cornell.edu/uscode/text/15/18</w:t>
      </w:r>
    </w:p>
    <w:p>
      <w:pPr>
        <w:keepNext/>
        <w:spacing w:before="400" w:after="40"/>
      </w:pPr>
      <w:r>
        <w:rPr>
          <w:rFonts w:ascii="黑体" w:hAnsi="黑体" w:eastAsia="黑体" w:cs="黑体"/>
          <w:b/>
          <w:color w:val="1F3864"/>
          <w:sz w:val="26"/>
        </w:rPr>
        <w:t>《联邦贸易委员会法》第 5 条</w:t>
      </w:r>
    </w:p>
    <w:p>
      <w:pPr>
        <w:keepNext/>
        <w:spacing w:after="60"/>
      </w:pPr>
      <w:r>
        <w:rPr>
          <w:rFonts w:ascii="Times New Roman" w:hAnsi="Times New Roman" w:eastAsia="宋体" w:cs="Times New Roman"/>
          <w:color w:val="595959"/>
          <w:sz w:val="18"/>
        </w:rPr>
        <w:t>Federal Trade Commission Act (1914), § 5 (15 U.S.C. § 45)</w:t>
      </w:r>
    </w:p>
    <w:p>
      <w:pPr>
        <w:keepNext/>
        <w:spacing w:after="160"/>
      </w:pPr>
      <w:r>
        <w:rPr>
          <w:rFonts w:ascii="Times New Roman" w:hAnsi="Times New Roman" w:eastAsia="宋体" w:cs="Times New Roman"/>
          <w:color w:val="808080"/>
          <w:sz w:val="16"/>
        </w:rPr>
        <w:t>1914 年 9 月 26 日签署 · 1938 年《惠勒-李法》修正</w:t>
      </w:r>
    </w:p>
    <w:p>
      <w:pPr>
        <w:keepNext/>
        <w:spacing w:after="120" w:line="336" w:lineRule="auto"/>
        <w:jc w:val="both"/>
      </w:pPr>
      <w:r>
        <w:rPr>
          <w:rFonts w:ascii="Times New Roman" w:hAnsi="Times New Roman" w:eastAsia="宋体" w:cs="Times New Roman"/>
          <w:color w:val="222222"/>
          <w:sz w:val="19"/>
        </w:rPr>
        <w:t>设立联邦贸易委员会，禁止“不公平的竞争方法”与“不公平或欺骗性的行为或做法”。1938 年修正把消费者保护纳入其中，使其从反托拉斯机构扩展为广义的市场监管机构。</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Unfair methods of competition in or affecting commerce, and unfair or deceptive acts or practices in or affecting commerce, are hereby declared unlawful.</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在商业中或影响商业的不公平的竞争方法，以及在商业中或影响商业的不公平或欺骗性行为或做法，均被宣布为非法。</w:t>
      </w:r>
      <w:r>
        <w:br/>
      </w:r>
      <w:r>
        <w:rPr>
          <w:rFonts w:ascii="Times New Roman" w:hAnsi="Times New Roman" w:eastAsia="宋体" w:cs="Times New Roman"/>
          <w:color w:val="808080"/>
          <w:sz w:val="15"/>
        </w:rPr>
        <w:t>来源：https://www.law.cornell.edu/uscode/text/15/45</w:t>
      </w:r>
    </w:p>
    <w:p>
      <w:pPr>
        <w:keepNext/>
        <w:spacing w:before="400" w:after="40"/>
      </w:pPr>
      <w:r>
        <w:rPr>
          <w:rFonts w:ascii="黑体" w:hAnsi="黑体" w:eastAsia="黑体" w:cs="黑体"/>
          <w:b/>
          <w:color w:val="1F3864"/>
          <w:sz w:val="26"/>
        </w:rPr>
        <w:t>《全国劳工关系法》第 7 条</w:t>
      </w:r>
    </w:p>
    <w:p>
      <w:pPr>
        <w:keepNext/>
        <w:spacing w:after="60"/>
      </w:pPr>
      <w:r>
        <w:rPr>
          <w:rFonts w:ascii="Times New Roman" w:hAnsi="Times New Roman" w:eastAsia="宋体" w:cs="Times New Roman"/>
          <w:color w:val="595959"/>
          <w:sz w:val="18"/>
        </w:rPr>
        <w:t>National Labor Relations Act (1935), § 7 (29 U.S.C. § 157)</w:t>
      </w:r>
    </w:p>
    <w:p>
      <w:pPr>
        <w:keepNext/>
        <w:spacing w:after="160"/>
      </w:pPr>
      <w:r>
        <w:rPr>
          <w:rFonts w:ascii="Times New Roman" w:hAnsi="Times New Roman" w:eastAsia="宋体" w:cs="Times New Roman"/>
          <w:color w:val="808080"/>
          <w:sz w:val="16"/>
        </w:rPr>
        <w:t>1935 年 7 月 5 日签署 · 公法 74-198</w:t>
      </w:r>
    </w:p>
    <w:p>
      <w:pPr>
        <w:keepNext/>
        <w:spacing w:after="120" w:line="336" w:lineRule="auto"/>
        <w:jc w:val="both"/>
      </w:pPr>
      <w:r>
        <w:rPr>
          <w:rFonts w:ascii="Times New Roman" w:hAnsi="Times New Roman" w:eastAsia="宋体" w:cs="Times New Roman"/>
          <w:color w:val="222222"/>
          <w:sz w:val="19"/>
        </w:rPr>
        <w:t>保障雇员自我组织、加入工会、集体谈判以及为集体谈判或其他互助目的采取集体行动的权利。它是“瓦格纳法”的核心，也是美国劳动法上最重要的一条。</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also have the right to refrain from any or all of such activities except to the extent that such right may be affected by an agreement requiring membership in a labor organization as a condition of employment as authorized in section 158(a)(3) of this title.</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雇员有权自我组织，有权组建、加入或协助劳工组织，有权通过其自行选择的代表进行集体谈判，并有权为集体谈判或其他互助或保护之目的从事其他协同活动；雇员亦有权不从事任何或全部上述活动，但此项权利可因依本章第158条(a)(3)款获得授权的、以加入劳工组织作为雇佣条件的协议而受影响。</w:t>
      </w:r>
      <w:r>
        <w:br/>
      </w:r>
      <w:r>
        <w:rPr>
          <w:rFonts w:ascii="Times New Roman" w:hAnsi="Times New Roman" w:eastAsia="宋体" w:cs="Times New Roman"/>
          <w:color w:val="808080"/>
          <w:sz w:val="15"/>
        </w:rPr>
        <w:t>来源：https://www.law.cornell.edu/uscode/text/29/157</w:t>
      </w:r>
    </w:p>
    <w:p>
      <w:pPr>
        <w:keepNext/>
        <w:spacing w:before="400" w:after="40"/>
      </w:pPr>
      <w:r>
        <w:rPr>
          <w:rFonts w:ascii="黑体" w:hAnsi="黑体" w:eastAsia="黑体" w:cs="黑体"/>
          <w:b/>
          <w:color w:val="1F3864"/>
          <w:sz w:val="26"/>
        </w:rPr>
        <w:t>《公平劳动标准法》第 6 条</w:t>
      </w:r>
    </w:p>
    <w:p>
      <w:pPr>
        <w:keepNext/>
        <w:spacing w:after="60"/>
      </w:pPr>
      <w:r>
        <w:rPr>
          <w:rFonts w:ascii="Times New Roman" w:hAnsi="Times New Roman" w:eastAsia="宋体" w:cs="Times New Roman"/>
          <w:color w:val="595959"/>
          <w:sz w:val="18"/>
        </w:rPr>
        <w:t>Fair Labor Standards Act (1938), § 6 (29 U.S.C. § 206)</w:t>
      </w:r>
    </w:p>
    <w:p>
      <w:pPr>
        <w:keepNext/>
        <w:spacing w:after="160"/>
      </w:pPr>
      <w:r>
        <w:rPr>
          <w:rFonts w:ascii="Times New Roman" w:hAnsi="Times New Roman" w:eastAsia="宋体" w:cs="Times New Roman"/>
          <w:color w:val="808080"/>
          <w:sz w:val="16"/>
        </w:rPr>
        <w:t>1938 年 6 月 25 日签署 · 公法 75-718</w:t>
      </w:r>
    </w:p>
    <w:p>
      <w:pPr>
        <w:keepNext w:val="0"/>
        <w:spacing w:after="120" w:line="336" w:lineRule="auto"/>
        <w:jc w:val="both"/>
      </w:pPr>
      <w:r>
        <w:rPr>
          <w:rFonts w:ascii="Times New Roman" w:hAnsi="Times New Roman" w:eastAsia="宋体" w:cs="Times New Roman"/>
          <w:color w:val="222222"/>
          <w:sz w:val="19"/>
        </w:rPr>
        <w:t>规定最低工资与加班费，禁止在州际贸易中销售由低于最低工资的劳动生产的产品。现行联邦最低工资为每小时7.25 美元，自 2009 年起未再上调。</w:t>
      </w:r>
    </w:p>
    <w:p>
      <w:pPr>
        <w:keepNext/>
        <w:spacing w:before="80" w:after="40"/>
      </w:pPr>
      <w:r>
        <w:rPr>
          <w:rFonts w:ascii="Times New Roman" w:hAnsi="Times New Roman" w:eastAsia="宋体" w:cs="Times New Roman"/>
          <w:color w:val="808080"/>
          <w:spacing w:val="30"/>
          <w:sz w:val="16"/>
        </w:rPr>
        <w:t>条文原文 / ORIGINAL TEXT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(a) Employees engaged in commerce; home workers in Puerto Rico and Virgin Islands; employees in American Samoa; seamen on American vessels; agricultural employees Every employer shall pay to each of his employees who in any workweek is engaged in commerce or in the production of goods for commerce, or is employed in an enterprise engaged in commerce or in the production of goods for commerce, wages at the following rates: (1) except as otherwise provided in this section, not less than— (A) $5.85 an hour, beginning on the 60th day after May 25, 2007; (B) $6.55 an hour, beginning 12 months after that 60th day; and (C) $7.25 an hour, beginning 24 months after that 60th day;</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(a) 从事商业的雇员；波多黎各和维尔京群岛的家庭工人；美属萨摩亚的雇员；美国船舶上的海员；农业雇员 每一雇主应向其每一雇员支付下列工资率，该雇员在任何工作周内从事商业或从事商品生产以供商业，或受雇于从事商业或从事商品生产以供商业的企业： (1) 除本节另有规定外，不低于—— (A) 每小时5.85美元，自2007年5月25日之后第60日起； (B) 每小时6.55美元，自该第60日之后满12个月起；以及 (C) 每小时7.25美元，自该第60日之后满24个月起；</w:t>
      </w:r>
      <w:r>
        <w:br/>
      </w:r>
      <w:r>
        <w:rPr>
          <w:rFonts w:ascii="Times New Roman" w:hAnsi="Times New Roman" w:eastAsia="宋体" w:cs="Times New Roman"/>
          <w:color w:val="808080"/>
          <w:sz w:val="15"/>
        </w:rPr>
        <w:t>来源：https://www.law.cornell.edu/uscode/text/29/206</w:t>
      </w:r>
    </w:p>
    <w:p>
      <w:pPr>
        <w:keepNext/>
        <w:spacing w:before="400" w:after="40"/>
      </w:pPr>
      <w:r>
        <w:rPr>
          <w:rFonts w:ascii="黑体" w:hAnsi="黑体" w:eastAsia="黑体" w:cs="黑体"/>
          <w:b/>
          <w:color w:val="1F3864"/>
          <w:sz w:val="26"/>
        </w:rPr>
        <w:t>《证券交易法》第 10(b) 条</w:t>
      </w:r>
    </w:p>
    <w:p>
      <w:pPr>
        <w:keepNext/>
        <w:spacing w:after="60"/>
      </w:pPr>
      <w:r>
        <w:rPr>
          <w:rFonts w:ascii="Times New Roman" w:hAnsi="Times New Roman" w:eastAsia="宋体" w:cs="Times New Roman"/>
          <w:color w:val="595959"/>
          <w:sz w:val="18"/>
        </w:rPr>
        <w:t>Securities Exchange Act (1934), § 10(b) (15 U.S.C. § 78j)</w:t>
      </w:r>
    </w:p>
    <w:p>
      <w:pPr>
        <w:keepNext/>
        <w:spacing w:after="160"/>
      </w:pPr>
      <w:r>
        <w:rPr>
          <w:rFonts w:ascii="Times New Roman" w:hAnsi="Times New Roman" w:eastAsia="宋体" w:cs="Times New Roman"/>
          <w:color w:val="808080"/>
          <w:sz w:val="16"/>
        </w:rPr>
        <w:t>1934 年 6 月 6 日签署 · 公法 73-291</w:t>
      </w:r>
    </w:p>
    <w:p>
      <w:pPr>
        <w:keepNext w:val="0"/>
        <w:spacing w:after="120" w:line="336" w:lineRule="auto"/>
        <w:jc w:val="both"/>
      </w:pPr>
      <w:r>
        <w:rPr>
          <w:rFonts w:ascii="Times New Roman" w:hAnsi="Times New Roman" w:eastAsia="宋体" w:cs="Times New Roman"/>
          <w:color w:val="222222"/>
          <w:sz w:val="19"/>
        </w:rPr>
        <w:t>禁止在证券买卖中使用操纵或欺诈手段，是 SEC 规则 10b-5 的法定基础。它支撑了美国证券法上最重要的私人诉权——证券欺诈民事诉讼。</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It shall be unlawful for any person, directly or indirectly, by the use of any means or instrumentality of interstate commerce or of the mails, or of any facility of any national securities exchange— [...] (b) To use or employ, in connection with the purchase or sale of any security registered on a national securities exchange or any security not so registered, or any securities-based swap agreement any manipulative or deceptive device or contrivance in contravention of such rules and regulations as the Commission may prescribe as necessary or appropriate in the public interest or for the protection of investors.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任何人直接或间接利用任何州际商业的手段或工具、或利用邮件、或利用任何全国性证券交易所的任何设施，有下列行为之一，即为非法—— [...] (b) 在与任何在全国性证券交易所注册的证券、或任何未如此注册的证券、或任何证券掉期协议相关的买入或卖出中，使用或采用任何操纵或欺诈手段，违反委员会为公共利益或为保护投资者而制定为必要或适当的规则和规章。</w:t>
      </w:r>
      <w:r>
        <w:br/>
      </w:r>
      <w:r>
        <w:rPr>
          <w:rFonts w:ascii="Times New Roman" w:hAnsi="Times New Roman" w:eastAsia="宋体" w:cs="Times New Roman"/>
          <w:color w:val="808080"/>
          <w:sz w:val="15"/>
        </w:rPr>
        <w:t>来源：https://www.law.cornell.edu/uscode/text/15/78j</w:t>
      </w:r>
    </w:p>
    <w:p>
      <w:pPr>
        <w:keepNext/>
        <w:spacing w:before="400" w:after="40"/>
      </w:pPr>
      <w:r>
        <w:rPr>
          <w:rFonts w:ascii="黑体" w:hAnsi="黑体" w:eastAsia="黑体" w:cs="黑体"/>
          <w:b/>
          <w:color w:val="1F3864"/>
          <w:sz w:val="26"/>
        </w:rPr>
        <w:t>《多德-弗兰克法》第 619 条（沃尔克规则）</w:t>
      </w:r>
    </w:p>
    <w:p>
      <w:pPr>
        <w:keepNext/>
        <w:spacing w:after="60"/>
      </w:pPr>
      <w:r>
        <w:rPr>
          <w:rFonts w:ascii="Times New Roman" w:hAnsi="Times New Roman" w:eastAsia="宋体" w:cs="Times New Roman"/>
          <w:color w:val="595959"/>
          <w:sz w:val="18"/>
        </w:rPr>
        <w:t>Dodd-Frank Act (2010), § 619 (12 U.S.C. § 1851)</w:t>
      </w:r>
    </w:p>
    <w:p>
      <w:pPr>
        <w:keepNext/>
        <w:spacing w:after="160"/>
      </w:pPr>
      <w:r>
        <w:rPr>
          <w:rFonts w:ascii="Times New Roman" w:hAnsi="Times New Roman" w:eastAsia="宋体" w:cs="Times New Roman"/>
          <w:color w:val="808080"/>
          <w:sz w:val="16"/>
        </w:rPr>
        <w:t>2010 年 7 月 21 日签署 · 公法 111-203</w:t>
      </w:r>
    </w:p>
    <w:p>
      <w:pPr>
        <w:keepNext/>
        <w:spacing w:after="120" w:line="336" w:lineRule="auto"/>
        <w:jc w:val="both"/>
      </w:pPr>
      <w:r>
        <w:rPr>
          <w:rFonts w:ascii="Times New Roman" w:hAnsi="Times New Roman" w:eastAsia="宋体" w:cs="Times New Roman"/>
          <w:color w:val="222222"/>
          <w:sz w:val="19"/>
        </w:rPr>
        <w:t>禁止吸收存款的银行以自有资金从事自营交易、持有或发起对冲基金与私募股权基金，以隔离联邦安全网与高风险交易。它是 2008 年危机后最具争议的监管条款之一。</w:t>
      </w:r>
    </w:p>
    <w:p>
      <w:pPr>
        <w:keepNext/>
        <w:spacing w:before="80" w:after="40"/>
      </w:pPr>
      <w:r>
        <w:rPr>
          <w:rFonts w:ascii="Times New Roman" w:hAnsi="Times New Roman" w:eastAsia="宋体" w:cs="Times New Roman"/>
          <w:color w:val="808080"/>
          <w:spacing w:val="30"/>
          <w:sz w:val="16"/>
        </w:rPr>
        <w:t>条文原文 / ORIGINAL TEXT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(a) In general (1) Prohibition Unless otherwise provided in this section, a banking entity shall not— (A) engage in proprietary trading; or (B) acquire or retain any equity, partnership, or other ownership interest in or sponsor a hedge fund or a private equity fund.</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(a) 一般规定 (1) 禁止 除本节另有规定外，银行实体不得—— (A) 从事自营交易；或 (B) 取得或保留任何对冲基金或私募股权基金的股权、合伙权益或其他所有权权益，或发起设立此类基金。</w:t>
      </w:r>
      <w:r>
        <w:br/>
      </w:r>
      <w:r>
        <w:rPr>
          <w:rFonts w:ascii="Times New Roman" w:hAnsi="Times New Roman" w:eastAsia="宋体" w:cs="Times New Roman"/>
          <w:color w:val="808080"/>
          <w:sz w:val="15"/>
        </w:rPr>
        <w:t>来源：https://www.law.cornell.edu/uscode/text/12/1851</w:t>
      </w:r>
    </w:p>
    <w:p>
      <w:pPr>
        <w:pBdr>
          <w:bottom w:val="single" w:sz="4" w:space="6" w:color="BFBFBF"/>
        </w:pBdr>
        <w:spacing w:before="1280" w:after="280"/>
      </w:pPr>
      <w:r>
        <w:rPr>
          <w:rFonts w:ascii="Times New Roman" w:hAnsi="Times New Roman" w:eastAsia="宋体" w:cs="Times New Roman"/>
          <w:sz w:val="4"/>
        </w:rPr>
      </w:r>
    </w:p>
    <w:p>
      <w:pPr>
        <w:keepNext/>
        <w:spacing w:after="160"/>
        <w:jc w:val="center"/>
      </w:pPr>
      <w:r>
        <w:rPr>
          <w:rFonts w:ascii="Times New Roman" w:hAnsi="Times New Roman" w:eastAsia="宋体" w:cs="Times New Roman"/>
          <w:color w:val="595959"/>
          <w:spacing w:val="100"/>
          <w:sz w:val="19"/>
        </w:rPr>
        <w:t>下编</w:t>
      </w:r>
    </w:p>
    <w:p>
      <w:pPr>
        <w:keepNext/>
        <w:spacing w:before="0" w:after="160"/>
        <w:jc w:val="center"/>
      </w:pPr>
      <w:r>
        <w:rPr>
          <w:rFonts w:ascii="黑体" w:hAnsi="黑体" w:eastAsia="黑体" w:cs="黑体"/>
          <w:b/>
          <w:color w:val="1F3864"/>
          <w:sz w:val="44"/>
        </w:rPr>
        <w:t>判例</w:t>
      </w:r>
    </w:p>
    <w:p>
      <w:pPr>
        <w:keepNext/>
        <w:spacing w:after="200"/>
        <w:jc w:val="center"/>
      </w:pPr>
      <w:r>
        <w:rPr>
          <w:rFonts w:ascii="Times New Roman" w:hAnsi="Times New Roman" w:eastAsia="宋体" w:cs="Times New Roman"/>
          <w:color w:val="595959"/>
          <w:sz w:val="21"/>
        </w:rPr>
        <w:t>Decisions</w:t>
      </w:r>
    </w:p>
    <w:p>
      <w:pPr>
        <w:spacing w:before="160"/>
        <w:jc w:val="center"/>
      </w:pPr>
      <w:r>
        <w:rPr>
          <w:rFonts w:ascii="Times New Roman" w:hAnsi="Times New Roman" w:eastAsia="宋体" w:cs="Times New Roman"/>
          <w:color w:val="808080"/>
          <w:sz w:val="19"/>
        </w:rPr>
        <w:t>十个判决：从吉本斯案到美国运通案</w:t>
      </w:r>
    </w:p>
    <w:p>
      <w:pPr>
        <w:keepNext/>
        <w:spacing w:before="440" w:after="40"/>
      </w:pPr>
      <w:r>
        <w:rPr>
          <w:rFonts w:ascii="黑体" w:hAnsi="黑体" w:eastAsia="黑体" w:cs="黑体"/>
          <w:b/>
          <w:color w:val="1F3864"/>
          <w:sz w:val="26"/>
        </w:rPr>
        <w:t>吉本斯诉奥格登案</w:t>
      </w:r>
    </w:p>
    <w:p>
      <w:pPr>
        <w:keepNext/>
        <w:spacing w:after="60"/>
      </w:pPr>
      <w:r>
        <w:rPr>
          <w:rFonts w:ascii="Times New Roman" w:hAnsi="Times New Roman" w:eastAsia="宋体" w:cs="Times New Roman"/>
          <w:i/>
          <w:color w:val="595959"/>
          <w:sz w:val="18"/>
        </w:rPr>
        <w:t>Gibbons v. Ogden</w:t>
      </w:r>
    </w:p>
    <w:p>
      <w:pPr>
        <w:keepNext/>
        <w:spacing w:after="160"/>
      </w:pPr>
      <w:r>
        <w:rPr>
          <w:rFonts w:ascii="Times New Roman" w:hAnsi="Times New Roman" w:eastAsia="宋体" w:cs="Times New Roman"/>
          <w:color w:val="808080"/>
          <w:sz w:val="16"/>
        </w:rPr>
        <w:t>22 U.S. (9 Wheat.) 1 · 1824 年 3 月 2 日 · 全体一致，马歇尔首席大法官执笔</w:t>
      </w:r>
    </w:p>
    <w:p>
      <w:pPr>
        <w:keepNext w:val="0"/>
        <w:spacing w:after="120" w:line="336" w:lineRule="auto"/>
        <w:jc w:val="both"/>
      </w:pPr>
      <w:r>
        <w:rPr>
          <w:rFonts w:ascii="Times New Roman" w:hAnsi="Times New Roman" w:eastAsia="宋体" w:cs="Times New Roman"/>
          <w:color w:val="222222"/>
          <w:sz w:val="19"/>
        </w:rPr>
        <w:t>纽约州授予富尔顿与利文斯顿在州内水域经营汽船的排他特许，吉本斯依联邦沿海贸易许可航行，被州法院禁止。马歇尔认为，“commerce”不仅是货物买卖，还包括航运与交往；联邦许可与州垄断冲突时，联邦法律优先。</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(a) Commerce, undoubtedly, is traffic, but it is something more: it is intercourse. It describes the commercial intercourse between nations, and parts of nations, in all its branches, and is regulated by prescribing rules for carrying on that intercourse. [...] (b) This power, like all others vested in Congress, is complete in itself, may be exercised to its utmost extent, and acknowledges no limitations, other than are prescribed in the constitution. [...] If, as has always been understood, the sovereignty of Congress, though limited to specified objects, is plenary as to those objects, the power over commerce with foreign nations, and among the several States, is vested in Congress as absolutely as it would be in a single government, having in its constitution the same restrictions on the exercise of the power as are found in the constitution of the United States.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（a）贸易无疑是交易，但它不止于交易：它是往来。它描述国家之间以及国家各部分之间的一切分支的商业往来，并通过为进行此种往来制定规则而受到规制。 [...] （b）这一权力，与授予国会的所有其他权力一样，本身即完整，可以行使至其最大限度，除宪法所规定的限制外，不承认任何其他限制。[...] 如果正如历来所理解的那样，国会的统治权虽限于特定对象，但就该等对象而言是完全的，那么，对外国以及各州之间贸易的权力便以绝对的方式授予国会，一如授予一个其宪法对权力行使设有与合众国宪法相同限制的单一政府。</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判决奠定了商业条款的宽泛解释与联邦至上原则，为此后一个多世纪的联邦贸易立法提供了宪法基础。</w:t>
      </w:r>
    </w:p>
    <w:p>
      <w:pPr>
        <w:spacing w:before="40" w:after="40"/>
      </w:pPr>
      <w:r>
        <w:rPr>
          <w:rFonts w:ascii="Times New Roman" w:hAnsi="Times New Roman" w:eastAsia="宋体" w:cs="Times New Roman"/>
          <w:color w:val="808080"/>
          <w:sz w:val="15"/>
        </w:rPr>
        <w:t>来源：https://www.law.cornell.edu/supremecourt/text/22/1</w:t>
      </w:r>
    </w:p>
    <w:p>
      <w:pPr>
        <w:keepNext/>
        <w:spacing w:before="440" w:after="40"/>
      </w:pPr>
      <w:r>
        <w:rPr>
          <w:rFonts w:ascii="黑体" w:hAnsi="黑体" w:eastAsia="黑体" w:cs="黑体"/>
          <w:b/>
          <w:color w:val="1F3864"/>
          <w:sz w:val="26"/>
        </w:rPr>
        <w:t>芒恩诉伊利诺伊州案</w:t>
      </w:r>
    </w:p>
    <w:p>
      <w:pPr>
        <w:keepNext/>
        <w:spacing w:after="60"/>
      </w:pPr>
      <w:r>
        <w:rPr>
          <w:rFonts w:ascii="Times New Roman" w:hAnsi="Times New Roman" w:eastAsia="宋体" w:cs="Times New Roman"/>
          <w:i/>
          <w:color w:val="595959"/>
          <w:sz w:val="18"/>
        </w:rPr>
        <w:t>Munn v. Illinois</w:t>
      </w:r>
    </w:p>
    <w:p>
      <w:pPr>
        <w:keepNext/>
        <w:spacing w:after="160"/>
      </w:pPr>
      <w:r>
        <w:rPr>
          <w:rFonts w:ascii="Times New Roman" w:hAnsi="Times New Roman" w:eastAsia="宋体" w:cs="Times New Roman"/>
          <w:color w:val="808080"/>
          <w:sz w:val="16"/>
        </w:rPr>
        <w:t>94 U.S. 113 · 1877 年 3 月 1 日 · 7–2，韦特首席大法官执笔</w:t>
      </w:r>
    </w:p>
    <w:p>
      <w:pPr>
        <w:keepNext w:val="0"/>
        <w:spacing w:after="120" w:line="336" w:lineRule="auto"/>
        <w:jc w:val="both"/>
      </w:pPr>
      <w:r>
        <w:rPr>
          <w:rFonts w:ascii="Times New Roman" w:hAnsi="Times New Roman" w:eastAsia="宋体" w:cs="Times New Roman"/>
          <w:color w:val="222222"/>
          <w:sz w:val="19"/>
        </w:rPr>
        <w:t>伊利诺伊州法为谷物仓库设定最高费率，仓库主主张该法未经正当程序剥夺其财产与契约自由。法院认为，当私人财产被用于影响公共利益的事业时，它就须接受公众的规制。</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This brings us to inquire as to the principles upon which this power of regulation rests, in order that we may determine what is within and what without its operative effect. Looking, then, to the common law, from whence came the right which the Constitution protects, we find that when private property is 'affected with a public interest, it ceases to be juris privati only.' This was said by Lord Chief Justice Hale more than two hundred years ago, in his treatise De Portibus Maris, 1 Harg. Law Tracts, 78, and has been accepted without objection as an essential element in the law of property ever since. Property does become clothed with a public interest when used in a manner to make it of public consequence, and affect the community at large. When, therefore, one devotes his property to a use in which the public has an interest, he, in effect, grants to the public an interest in that use, and must submit to be controlled by the public for the common good, to the extent of the interest he has thus created. He may withdraw his grant by discontinuing the use; but, so long as he maintains the use, he must submit to the control.</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于是我们转而探究这一规制权力所依据的原则，以便确定何者在其效力范围之内、何者在其外。我们考察宪法所保护的权利所由来的普通法，可以看到：当私有财产'涉及公共利益时，它就不再仅仅是私法上的物（juris privati only）'。这是首席大法官黑尔两百多年前在其《海洋港口论》（De Portibus Maris, 1 Harg. Law Tracts, 78）中所言，此后一直作为财产法的一项基本要素而被无异议地接受。财产一旦以使其具有公共意义并影响整个社会的方式被使用，确实会披上公共利益的外衣。因此，当一个人将其财产投入公众在其中享有利益的使用时，他实际上就是授予公众在该项使用中的一项利益，并且必须在由此创设的利益的范围内，为共同善而接受公众的支配。他可以通过停止该项使用而撤回其授予；但只要他维持该项使用，就必须接受这种支配。</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判决确立了“公共利益”标准，为州级费率管制与公用事业监管奠基；1930 年代后被援引来支持新政立法。</w:t>
      </w:r>
    </w:p>
    <w:p>
      <w:pPr>
        <w:spacing w:before="40" w:after="40"/>
      </w:pPr>
      <w:r>
        <w:rPr>
          <w:rFonts w:ascii="Times New Roman" w:hAnsi="Times New Roman" w:eastAsia="宋体" w:cs="Times New Roman"/>
          <w:color w:val="808080"/>
          <w:sz w:val="15"/>
        </w:rPr>
        <w:t>来源：https://www.law.cornell.edu/supremecourt/text/94/113</w:t>
      </w:r>
    </w:p>
    <w:p>
      <w:pPr>
        <w:keepNext/>
        <w:spacing w:before="440" w:after="40"/>
      </w:pPr>
      <w:r>
        <w:rPr>
          <w:rFonts w:ascii="黑体" w:hAnsi="黑体" w:eastAsia="黑体" w:cs="黑体"/>
          <w:b/>
          <w:color w:val="1F3864"/>
          <w:sz w:val="26"/>
        </w:rPr>
        <w:t>标准石油公司诉合众国案</w:t>
      </w:r>
    </w:p>
    <w:p>
      <w:pPr>
        <w:keepNext/>
        <w:spacing w:after="60"/>
      </w:pPr>
      <w:r>
        <w:rPr>
          <w:rFonts w:ascii="Times New Roman" w:hAnsi="Times New Roman" w:eastAsia="宋体" w:cs="Times New Roman"/>
          <w:i/>
          <w:color w:val="595959"/>
          <w:sz w:val="18"/>
        </w:rPr>
        <w:t>Standard Oil Co. v. United States</w:t>
      </w:r>
    </w:p>
    <w:p>
      <w:pPr>
        <w:keepNext/>
        <w:spacing w:after="160"/>
      </w:pPr>
      <w:r>
        <w:rPr>
          <w:rFonts w:ascii="Times New Roman" w:hAnsi="Times New Roman" w:eastAsia="宋体" w:cs="Times New Roman"/>
          <w:color w:val="808080"/>
          <w:sz w:val="16"/>
        </w:rPr>
        <w:t>221 U.S. 1 · 1911 年 5 月 15 日 · 9–0，怀特首席大法官执笔</w:t>
      </w:r>
    </w:p>
    <w:p>
      <w:pPr>
        <w:keepNext w:val="0"/>
        <w:spacing w:after="120" w:line="336" w:lineRule="auto"/>
        <w:jc w:val="both"/>
      </w:pPr>
      <w:r>
        <w:rPr>
          <w:rFonts w:ascii="Times New Roman" w:hAnsi="Times New Roman" w:eastAsia="宋体" w:cs="Times New Roman"/>
          <w:color w:val="222222"/>
          <w:sz w:val="19"/>
        </w:rPr>
        <w:t>政府依《谢尔曼法》起诉标准石油公司以合并、折扣与铁路回扣等手段垄断石油业。法院认为，条文禁止的只是“不合理”的限制贸易，判断标准是“合理原则”，而标准石油的行为已越界。</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(a) Thus not specifying, but indubitably contemplating and requiring a standard, it follows that it was intended that the standard of reason which had been applied at the common law and in this country in dealing with subjects of the character embraced by the statute was intended to be the measure used for the purpose of determining whether, in a given case, a particular act had or had not brought about the wrong against which the statute provided. [...] (b) This is true, because the construction which we have deduced from the history of the act and the analysis of its text is simply that in every case where it is claimed that an act or acts are in violation of the statute, the rule of reason, in the light of the principles of law and the public policy which the act embodies, must be applied.</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a）因此，该法虽未具体指明，却无疑意欲并要求一项标准；由此可见，立法者意在将普通法上及我国在处理该法所涉同类事项时所适用的'理性标准'，作为判断在具体案件中某一行为是否造成了该法所防范的损害的衡量尺度。 [...] （b）此言为真，因为我们从该法沿革及其文本分析中得出的解释无非是：在每一主张某行为违反该法的案件中，都必须依法律原则及该法所体现的公共政策，适用合理原则。</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判决把《谢尔曼法》从形式禁令转为效果审查，并拆分了标准石油；合理原则至今仍是反托拉斯分析的核心。</w:t>
      </w:r>
    </w:p>
    <w:p>
      <w:pPr>
        <w:spacing w:before="40" w:after="40"/>
      </w:pPr>
      <w:r>
        <w:rPr>
          <w:rFonts w:ascii="Times New Roman" w:hAnsi="Times New Roman" w:eastAsia="宋体" w:cs="Times New Roman"/>
          <w:color w:val="808080"/>
          <w:sz w:val="15"/>
        </w:rPr>
        <w:t>来源：https://www.law.cornell.edu/supremecourt/text/221/1</w:t>
      </w:r>
    </w:p>
    <w:p>
      <w:pPr>
        <w:keepNext/>
        <w:spacing w:before="440" w:after="40"/>
      </w:pPr>
      <w:r>
        <w:rPr>
          <w:rFonts w:ascii="黑体" w:hAnsi="黑体" w:eastAsia="黑体" w:cs="黑体"/>
          <w:b/>
          <w:color w:val="1F3864"/>
          <w:sz w:val="26"/>
        </w:rPr>
        <w:t>谢克特家禽公司诉合众国案</w:t>
      </w:r>
    </w:p>
    <w:p>
      <w:pPr>
        <w:keepNext/>
        <w:spacing w:after="60"/>
      </w:pPr>
      <w:r>
        <w:rPr>
          <w:rFonts w:ascii="Times New Roman" w:hAnsi="Times New Roman" w:eastAsia="宋体" w:cs="Times New Roman"/>
          <w:i/>
          <w:color w:val="595959"/>
          <w:sz w:val="18"/>
        </w:rPr>
        <w:t>A.L.A. Schechter Poultry Corp. v. United States</w:t>
      </w:r>
    </w:p>
    <w:p>
      <w:pPr>
        <w:keepNext/>
        <w:spacing w:after="160"/>
      </w:pPr>
      <w:r>
        <w:rPr>
          <w:rFonts w:ascii="Times New Roman" w:hAnsi="Times New Roman" w:eastAsia="宋体" w:cs="Times New Roman"/>
          <w:color w:val="808080"/>
          <w:sz w:val="16"/>
        </w:rPr>
        <w:t>295 U.S. 495 · 1935 年 5 月 27 日 · 9–0，休斯首席大法官执笔</w:t>
      </w:r>
    </w:p>
    <w:p>
      <w:pPr>
        <w:keepNext w:val="0"/>
        <w:spacing w:after="120" w:line="336" w:lineRule="auto"/>
        <w:jc w:val="both"/>
      </w:pPr>
      <w:r>
        <w:rPr>
          <w:rFonts w:ascii="Times New Roman" w:hAnsi="Times New Roman" w:eastAsia="宋体" w:cs="Times New Roman"/>
          <w:color w:val="222222"/>
          <w:sz w:val="19"/>
        </w:rPr>
        <w:t>《全国工业复兴法》授权总统批准各行业的“公平竞争准则”，谢克特公司因违反家禽业的销售规则被起诉。法院认为，国会把立法权授予总统而未设明确标准，且该案所涉交易已不属州际贸易。</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First. Two preliminary points are stressed by the government with respect to the appropriate approach to the important questions presented. We are told that the provision of the statute authorizing the adoption of codes must be viewed in the light of the grave national crisis with which Congress was confronted. Undoubtedly, the conditions to which power is addressed are always to be considered when the exercise of power is challenged. Extraordinary conditions may call for extraordinary remedies. But the argument necessarily stops short of an attempt to justify action which lies outside the sphere of constitutional authority. Extraordinary conditions do not create or enlarge constitutional power. The Constitution established a national government with powers deemed to be adequate, as they have proved to be both in war and peace, but these powers of the national government are limited by the constitutional grants. Those who act under these grants are not at liberty to transcend the imposed limits because they believe that more or different power is necessary. Such assertions of extraconstitutional authority were anticipated and precluded by the explicit terms of the Tenth Amendment—'The powers not delegated to the United States by the Constitution, nor prohibited by it to the States, are reserved to the States respectively, or to the people.' [...] But Congress cannot delegate legislative power to the President to exercise an unfettered discretion to make whatever laws he thinks may be needed or advisable for the rehabilitation and expansion of trade or industry. [...] Section 3 of the Recovery Act [...] supplies no standards for any trade, industry, or activity. [...] In view of the scope of that broad declaration and of the nature of the few restrictions that are imposed, the discretion of the President in approving or prescribing codes, and thus enacting laws for the government of trade and industry throughout the country, is virtually unfettered. We think that the code-making authority thus conferred is an unconstitutional delegation of legislative power.</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第一，关于处理本案所提出的重大问题应采取何种适当进路，政府着重强调了两点前提。我们被告知，必须结合国会当时所面对的严重全国性危机，来看待授权制定法典的该项法律条文。毋庸置疑，在权力的行使受到质疑时，权力所针对的各种情势始终应予考虑。非常情势可能需要非常救济。但该论证必然止步于为超出宪法权限范围的行为提供正当理由的企图。非常情势并不创设或扩大宪法权力。宪法所建立的是一个其权力被认为充足的全国性政府——无论在战时还是平时，这些权力均已证明是充足的——但全国性政府的这些权力受宪法授予的限制。依据这些授权行事者，不得因其认为有必要取得更多或不同的权力，便逾越所设定的界限。此类主张法外权威的论调，已为第十修正案的明文规定所预见并排除——'宪法未授予合众国、亦未禁止各州行使的权力，分别保留给各州或人民。'[…] 但国会不得将立法权授予总统，使其行使不受拘束的自由裁量权，去制定他认为为振兴和扩张贸易或工业所需或可取的一切法律。[…] 复兴法第3条[…]未就任何贸易、行业或活动规定任何标准。[…] 鉴于该宽泛宣言的范围以及所设少数限制的性质，总统在批准或规定法典、从而为全国贸易和工业制定法律方面的自由裁量权，实际上是几乎不受任何拘束的。我们认为，如此授予的制定法典之权，属于违宪的立法授权。</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判决推翻了新政的支柱立法，是新政早期最大的司法挫折；国会随后改以《全国劳工关系法》《公平劳动标准法》等具体立法重建监管。</w:t>
      </w:r>
    </w:p>
    <w:p>
      <w:pPr>
        <w:spacing w:before="40" w:after="40"/>
      </w:pPr>
      <w:r>
        <w:rPr>
          <w:rFonts w:ascii="Times New Roman" w:hAnsi="Times New Roman" w:eastAsia="宋体" w:cs="Times New Roman"/>
          <w:color w:val="808080"/>
          <w:sz w:val="15"/>
        </w:rPr>
        <w:t>来源：https://www.law.cornell.edu/supremecourt/text/295/495</w:t>
      </w:r>
    </w:p>
    <w:p>
      <w:pPr>
        <w:keepNext/>
        <w:spacing w:before="440" w:after="40"/>
      </w:pPr>
      <w:r>
        <w:rPr>
          <w:rFonts w:ascii="黑体" w:hAnsi="黑体" w:eastAsia="黑体" w:cs="黑体"/>
          <w:b/>
          <w:color w:val="1F3864"/>
          <w:sz w:val="26"/>
        </w:rPr>
        <w:t>西海岸旅馆公司诉帕里什案</w:t>
      </w:r>
    </w:p>
    <w:p>
      <w:pPr>
        <w:keepNext/>
        <w:spacing w:after="60"/>
      </w:pPr>
      <w:r>
        <w:rPr>
          <w:rFonts w:ascii="Times New Roman" w:hAnsi="Times New Roman" w:eastAsia="宋体" w:cs="Times New Roman"/>
          <w:i/>
          <w:color w:val="595959"/>
          <w:sz w:val="18"/>
        </w:rPr>
        <w:t>West Coast Hotel Co. v. Parrish</w:t>
      </w:r>
    </w:p>
    <w:p>
      <w:pPr>
        <w:keepNext/>
        <w:spacing w:after="160"/>
      </w:pPr>
      <w:r>
        <w:rPr>
          <w:rFonts w:ascii="Times New Roman" w:hAnsi="Times New Roman" w:eastAsia="宋体" w:cs="Times New Roman"/>
          <w:color w:val="808080"/>
          <w:sz w:val="16"/>
        </w:rPr>
        <w:t>300 U.S. 379 · 1937 年 3 月 29 日 · 5–4，休斯首席大法官执笔</w:t>
      </w:r>
    </w:p>
    <w:p>
      <w:pPr>
        <w:keepNext w:val="0"/>
        <w:spacing w:after="120" w:line="336" w:lineRule="auto"/>
        <w:jc w:val="both"/>
      </w:pPr>
      <w:r>
        <w:rPr>
          <w:rFonts w:ascii="Times New Roman" w:hAnsi="Times New Roman" w:eastAsia="宋体" w:cs="Times New Roman"/>
          <w:color w:val="222222"/>
          <w:sz w:val="19"/>
        </w:rPr>
        <w:t>华盛顿州法规定妇女最低工资，帕里什因被拖欠工资起诉，下级法院依据 1923 年 Adkins 案判其败诉。最高法院推翻 Adkins，认为最低工资立法与公共利益合理相关，不违反正当程序。</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The Constitution does not speak of freedom of contract. It speaks of liberty and prohibits the deprivation of liberty without due process of law. In prohibiting that deprivation, the Constitution does not recognize an absolute and uncontrollable liberty. Liberty in each of its phases has its history and connotation. But the liberty safeguarded is liberty in a social organization which requires the protection of law against the evils which menace the health, safety, morals, and welfare of the people. Liberty under the Constitution is thus necessarily subject to the restraints of due process, and regulation which is reasonable in relation to its subject and is adopted in the interests of the community is due process.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宪法并未提及契约自由。宪法提及的是自由，并禁止未经正当法律程序剥夺自由。在禁止此种剥夺时，宪法并不承认一种绝对而不可控制的自由。自由在其各个面向都有其历史与含义。但受保障的自由，是在一种社会组织中的自由，该社会组织要求以法律保护人民免受危害其健康、安全、道德与福利的种种祸害。因此，宪法之下的自由必然受正当程序的约束，而一项与其主题合理相关、且为社区利益而采取的规制，即是正当程序。</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判决结束了以契约自由审查经济立法的“洛克纳时代”；此后半个世纪，经济立法几乎不再受实质性司法审查。</w:t>
      </w:r>
    </w:p>
    <w:p>
      <w:pPr>
        <w:spacing w:before="40" w:after="40"/>
      </w:pPr>
      <w:r>
        <w:rPr>
          <w:rFonts w:ascii="Times New Roman" w:hAnsi="Times New Roman" w:eastAsia="宋体" w:cs="Times New Roman"/>
          <w:color w:val="808080"/>
          <w:sz w:val="15"/>
        </w:rPr>
        <w:t>来源：https://www.law.cornell.edu/supremecourt/text/300/379</w:t>
      </w:r>
    </w:p>
    <w:p>
      <w:pPr>
        <w:keepNext/>
        <w:spacing w:before="440" w:after="40"/>
      </w:pPr>
      <w:r>
        <w:rPr>
          <w:rFonts w:ascii="黑体" w:hAnsi="黑体" w:eastAsia="黑体" w:cs="黑体"/>
          <w:b/>
          <w:color w:val="1F3864"/>
          <w:sz w:val="26"/>
        </w:rPr>
        <w:t>威卡德诉菲尔伯恩案</w:t>
      </w:r>
    </w:p>
    <w:p>
      <w:pPr>
        <w:keepNext/>
        <w:spacing w:after="60"/>
      </w:pPr>
      <w:r>
        <w:rPr>
          <w:rFonts w:ascii="Times New Roman" w:hAnsi="Times New Roman" w:eastAsia="宋体" w:cs="Times New Roman"/>
          <w:i/>
          <w:color w:val="595959"/>
          <w:sz w:val="18"/>
        </w:rPr>
        <w:t>Wickard v. Filburn</w:t>
      </w:r>
    </w:p>
    <w:p>
      <w:pPr>
        <w:keepNext/>
        <w:spacing w:after="160"/>
      </w:pPr>
      <w:r>
        <w:rPr>
          <w:rFonts w:ascii="Times New Roman" w:hAnsi="Times New Roman" w:eastAsia="宋体" w:cs="Times New Roman"/>
          <w:color w:val="808080"/>
          <w:sz w:val="16"/>
        </w:rPr>
        <w:t>317 U.S. 111 · 1942 年 11 月 9 日 · 8–0，杰克逊法官执笔</w:t>
      </w:r>
    </w:p>
    <w:p>
      <w:pPr>
        <w:keepNext w:val="0"/>
        <w:spacing w:after="120" w:line="336" w:lineRule="auto"/>
        <w:jc w:val="both"/>
      </w:pPr>
      <w:r>
        <w:rPr>
          <w:rFonts w:ascii="Times New Roman" w:hAnsi="Times New Roman" w:eastAsia="宋体" w:cs="Times New Roman"/>
          <w:color w:val="222222"/>
          <w:sz w:val="19"/>
        </w:rPr>
        <w:t>联邦农业调整法为小麦设定配额，菲尔伯恩自种自用的小麦超出配额，主张其行为纯属地方性、不影响州际贸易。法院认为，即使单个农户的份额微不足道，累积起来仍会实质影响州际市场。</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Whether the subject of the regulation in question was 'production,' 'consumption,' or 'marketing' is, therefore, not material for purposes of deciding the question of federal power before us. That an activity is of local character may help in a doubtful case to determine whether Congress intended to reach it. The same consideration might help in determining whether in the absence of Congressional action it would be permissible for the state to exert its power on the subject matter, even though in so doing it to some degree affected interstate commerce. But even if appellee's activity be local and though it may not be regarded as commerce, it may still, whatever its nature, be reached by Congress if it exerts a substantial economic effect on interstate commerce and this irrespective of whether such effect is what might at some earlier time have been defined as 'direct' or 'indirect.' [...] That appellee's own contribution to the demand for wheat may be trivial by itself is not enough to remove him from the scope of federal regulation where, as here, his contribution, taken together with that of many others similarly situated, is far from trivial. [...] It can hardly be denied that a factor of such volume and variability as home-consumed wheat would have a substantial influence on price and market conditions.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因此，受规制的事项究竟是'生产'、'消费'还是'销售'，对于裁断我们面前这一联邦权力问题而言并不重要。某一活动具有地方性质，在疑难案件中可能有助于判断国会是否有意将其纳入规制范围。同一考虑也可能有助于判断：在国会未采取行动的情况下，允许州对该事项行使权力是否可行，即使这样做在某种程度上影响了州际贸易。但即便上诉人的活动具有地方性，且纵然其可能不被视为贸易，只要该活动对州际贸易产生实质经济影响，无论其性质如何，国会仍可对其加以规制；此种影响是否属于早先可能被界定为'直接'或'间接'者，均在所不问。[…] 上诉人自身对小麦需求的贡献或许微不足道，但仅此并不足以使其脱离联邦规制的范围，因为在此，其贡献与众多处于类似境况者的贡献累积计算，绝非微不足道。[…] 几乎无法否认，像自用小麦这样在数量与变动性上如此巨大的因素，会对价格与市场状况产生实质影响。</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判决确立“累积效应”标准，商业条款权力达到顶点；直到 1995 年 Lopez 案，联邦立法才首次因此被推翻。</w:t>
      </w:r>
    </w:p>
    <w:p>
      <w:pPr>
        <w:spacing w:before="40" w:after="40"/>
      </w:pPr>
      <w:r>
        <w:rPr>
          <w:rFonts w:ascii="Times New Roman" w:hAnsi="Times New Roman" w:eastAsia="宋体" w:cs="Times New Roman"/>
          <w:color w:val="808080"/>
          <w:sz w:val="15"/>
        </w:rPr>
        <w:t>来源：https://www.law.cornell.edu/supremecourt/text/317/111</w:t>
      </w:r>
    </w:p>
    <w:p>
      <w:pPr>
        <w:keepNext/>
        <w:spacing w:before="440" w:after="40"/>
      </w:pPr>
      <w:r>
        <w:rPr>
          <w:rFonts w:ascii="黑体" w:hAnsi="黑体" w:eastAsia="黑体" w:cs="黑体"/>
          <w:b/>
          <w:color w:val="1F3864"/>
          <w:sz w:val="26"/>
        </w:rPr>
        <w:t>合众国诉洛佩斯案</w:t>
      </w:r>
    </w:p>
    <w:p>
      <w:pPr>
        <w:keepNext/>
        <w:spacing w:after="60"/>
      </w:pPr>
      <w:r>
        <w:rPr>
          <w:rFonts w:ascii="Times New Roman" w:hAnsi="Times New Roman" w:eastAsia="宋体" w:cs="Times New Roman"/>
          <w:i/>
          <w:color w:val="595959"/>
          <w:sz w:val="18"/>
        </w:rPr>
        <w:t>United States v. Lopez</w:t>
      </w:r>
    </w:p>
    <w:p>
      <w:pPr>
        <w:keepNext/>
        <w:spacing w:after="160"/>
      </w:pPr>
      <w:r>
        <w:rPr>
          <w:rFonts w:ascii="Times New Roman" w:hAnsi="Times New Roman" w:eastAsia="宋体" w:cs="Times New Roman"/>
          <w:color w:val="808080"/>
          <w:sz w:val="16"/>
        </w:rPr>
        <w:t>514 U.S. 549 · 1995 年 4 月 26 日 · 5–4，伦奎斯特首席大法官执笔</w:t>
      </w:r>
    </w:p>
    <w:p>
      <w:pPr>
        <w:keepNext w:val="0"/>
        <w:spacing w:after="120" w:line="336" w:lineRule="auto"/>
        <w:jc w:val="both"/>
      </w:pPr>
      <w:r>
        <w:rPr>
          <w:rFonts w:ascii="Times New Roman" w:hAnsi="Times New Roman" w:eastAsia="宋体" w:cs="Times New Roman"/>
          <w:color w:val="222222"/>
          <w:sz w:val="19"/>
        </w:rPr>
        <w:t>《校园禁枪法》禁止在学校周边持有枪支，联邦依此起诉高中生洛佩斯。法院认为，持有枪支与州际贸易没有实质联系，国会不能仅凭“累积效应”把一切地方行为纳入规制。</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We start with first principles. The Constitution creates a Federal Government of enumerated powers. See U.S. Const., Art. I, § 8. As James Madison wrote, "[t]he powers delegated by the proposed Constitution to the federal government are few and defined. Those which are to remain in the State governments are numerous and indefinite." The Federalist No. 45, pp. 292-293 (C. Rossiter ed. 1961). This constitutionally mandated division of authority "was adopted by the Framers to ensure protection of our fundamental liberties." Gregory v. Ashcroft, 501 U.S. 452, 458, 111 S.Ct. 2395, 2400, 115 L.Ed.2d 410 (1991) (internal quotation marks omitted). "Just as the separation and independence of the coordinate branches of the Federal Government serves to prevent the accumulation of excessive power in any one branch, a healthy balance of power between the States and the Federal Government will reduce the risk of tyranny and abuse from either front." Ibid. To uphold the Government's contentions here, we would have to pile inference upon inference in a manner that would bid fair to convert congressional authority under the Commerce Clause to a general police power of the sort retained by the States. Admittedly, some of our prior cases have taken long steps down that road, giving great deference to congressional action. [...] The broad language in these opinions has suggested the possibility of additional expansion, but we decline here to proceed any further. To do so would require us to conclude that the Constitution's enumeration of powers does not presuppose something not enumerated, cf. Gibbons v. Ogden, supra, at 195, and that there never will be a distinction between what is truly national and what is truly local, cf. Jones &amp; Laughlin Steel, supra, at 30, 57 S.Ct., at 621. This we are unwilling to do.</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我们从第一原理出发。宪法所创设的是一个拥有列举权力的联邦政府。参见《美国宪法》第一条第八款。正如詹姆斯·麦迪逊所写：“拟议宪法授予联邦政府的权力为数不多且界定明确。留在州政府手中的权力则众多而不受限定。”《联邦党人文集》第45篇，第292—293页（C. 罗西特编，1961年）。这一由宪法所规定的权力划分“是制宪者为确保我们基本自由得到保护而采用的”。格雷戈里诉阿什克罗夫特案，501 U.S. 452, 458，111 S.Ct. 2395, 2400，115 L.Ed.2d 410（1991年）（内部引号省略）。“正如联邦政府各并列分支的分立与独立有助于防止权力在任何一分支过度积聚，州与联邦政府之间健康的权力平衡也将减少来自任何一面的暴政与滥权风险。”同上。 要支持政府在此的主张，我们就不得不将推论叠加于推论之上，而这种做法很可能把国会在商业条款下的权限转变为一种只有各州才保留的一般治安权。诚然，我们先前的一些判例已在这条道路上迈出了长远的步伐，对国会的行为给予了极大尊重。[...] 这些意见中的宽泛表述曾暗示存在进一步扩张的可能，但我们在此拒绝再向前推进。若要如此，我们就必须认定：宪法的权力列举并不预设存在未被列举之物（比较吉本斯诉奥格登案，前引，第195页），并且认定真正属于全国性的事务与真正属于地方性的事务之间将永远不存在区分（比较琼斯与劳克林钢铁公司案，前引，第30页）。这是我们不愿做的。</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这是近六十年来最高法院首次以商业条款为由推翻联邦立法，重启了对联邦权力的边界审查；2000 年 Morrison 案延续了这一转向。</w:t>
      </w:r>
    </w:p>
    <w:p>
      <w:pPr>
        <w:spacing w:before="40" w:after="40"/>
      </w:pPr>
      <w:r>
        <w:rPr>
          <w:rFonts w:ascii="Times New Roman" w:hAnsi="Times New Roman" w:eastAsia="宋体" w:cs="Times New Roman"/>
          <w:color w:val="808080"/>
          <w:sz w:val="15"/>
        </w:rPr>
        <w:t>来源：https://www.law.cornell.edu/supremecourt/text/514/549</w:t>
      </w:r>
    </w:p>
    <w:p>
      <w:pPr>
        <w:keepNext/>
        <w:spacing w:before="440" w:after="40"/>
      </w:pPr>
      <w:r>
        <w:rPr>
          <w:rFonts w:ascii="黑体" w:hAnsi="黑体" w:eastAsia="黑体" w:cs="黑体"/>
          <w:b/>
          <w:color w:val="1F3864"/>
          <w:sz w:val="26"/>
        </w:rPr>
        <w:t>凯洛诉新伦敦市案</w:t>
      </w:r>
    </w:p>
    <w:p>
      <w:pPr>
        <w:keepNext/>
        <w:spacing w:after="60"/>
      </w:pPr>
      <w:r>
        <w:rPr>
          <w:rFonts w:ascii="Times New Roman" w:hAnsi="Times New Roman" w:eastAsia="宋体" w:cs="Times New Roman"/>
          <w:i/>
          <w:color w:val="595959"/>
          <w:sz w:val="18"/>
        </w:rPr>
        <w:t>Kelo v. City of New London</w:t>
      </w:r>
    </w:p>
    <w:p>
      <w:pPr>
        <w:keepNext/>
        <w:spacing w:after="160"/>
      </w:pPr>
      <w:r>
        <w:rPr>
          <w:rFonts w:ascii="Times New Roman" w:hAnsi="Times New Roman" w:eastAsia="宋体" w:cs="Times New Roman"/>
          <w:color w:val="808080"/>
          <w:sz w:val="16"/>
        </w:rPr>
        <w:t>545 U.S. 469 · 2005 年 6 月 23 日 · 5–4，史蒂文斯法官执笔；奥康纳法官异议</w:t>
      </w:r>
    </w:p>
    <w:p>
      <w:pPr>
        <w:keepNext w:val="0"/>
        <w:spacing w:after="120" w:line="336" w:lineRule="auto"/>
        <w:jc w:val="both"/>
      </w:pPr>
      <w:r>
        <w:rPr>
          <w:rFonts w:ascii="Times New Roman" w:hAnsi="Times New Roman" w:eastAsia="宋体" w:cs="Times New Roman"/>
          <w:color w:val="222222"/>
          <w:sz w:val="19"/>
        </w:rPr>
        <w:t>新伦敦市为配合制药公司投资，依征收权征收私人住宅并交由私人开发商进行经济开发。法院认为，“公共使用”包括以经济发展为目的的征收。</w:t>
      </w:r>
    </w:p>
    <w:p>
      <w:pPr>
        <w:keepNext/>
        <w:spacing w:before="80" w:after="40"/>
      </w:pPr>
      <w:r>
        <w:rPr>
          <w:rFonts w:ascii="Times New Roman" w:hAnsi="Times New Roman" w:eastAsia="宋体" w:cs="Times New Roman"/>
          <w:color w:val="808080"/>
          <w:spacing w:val="30"/>
          <w:sz w:val="16"/>
        </w:rPr>
        <w:t>法院意见（节选） / OPINION OF THE COURT</w:t>
      </w:r>
    </w:p>
    <w:p>
      <w:pPr>
        <w:keepNext/>
        <w:pBdr>
          <w:left w:val="single" w:sz="12" w:space="10" w:color="C9D3E3"/>
        </w:pBdr>
        <w:spacing w:before="20" w:after="20" w:line="288" w:lineRule="auto"/>
        <w:ind w:left="425" w:right="227"/>
      </w:pPr>
      <w:r>
        <w:rPr>
          <w:rFonts w:ascii="Times New Roman" w:hAnsi="Times New Roman" w:eastAsia="宋体" w:cs="Times New Roman"/>
          <w:color w:val="222222"/>
          <w:sz w:val="19"/>
        </w:rPr>
        <w:t>Promoting economic development is a traditional and long accepted function of government. There is, moreover, no principled way of distinguishing economic development from the other public purposes that we have recognized. [...] It would be incongruous to hold that the City's interest in the economic benefits to be derived from the development of the Fort Trumbull area has less of a public character than any of those other interests. Clearly, there is no basis for exempting economic development from our traditionally broad understanding of public purpose. Because that plan unquestionably serves a public purpose, the takings challenged here satisfy the public use requirement of the Fifth Amendment.</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促进经济发展是政府一项传统且长期被接受的职能。此外，也没有任何有原则的方法可以将经济发展与我们已认可的其他公共目的区分开来。[...] 若认定本市从特朗布尔堡地区开发中获取经济利益这一利益，其公共性质弱于上述任何其他利益，那将是自相矛盾的。显然，没有理由把经济发展排除在我们传统上对公共目的的宽泛理解之外。 由于该规划无疑服务于公共目的，此处受质疑的征收符合第五修正案的公共使用要求。</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判决引发全国性反弹，四十余州随后修改征收法；它也重新点燃了关于征收条款与财产权的争论。</w:t>
      </w:r>
    </w:p>
    <w:p>
      <w:pPr>
        <w:spacing w:before="40" w:after="40"/>
      </w:pPr>
      <w:r>
        <w:rPr>
          <w:rFonts w:ascii="Times New Roman" w:hAnsi="Times New Roman" w:eastAsia="宋体" w:cs="Times New Roman"/>
          <w:color w:val="808080"/>
          <w:sz w:val="15"/>
        </w:rPr>
        <w:t>来源：https://www.law.cornell.edu/supremecourt/text/545/469</w:t>
      </w:r>
    </w:p>
    <w:p>
      <w:pPr>
        <w:keepNext/>
        <w:spacing w:before="440" w:after="40"/>
      </w:pPr>
      <w:r>
        <w:rPr>
          <w:rFonts w:ascii="黑体" w:hAnsi="黑体" w:eastAsia="黑体" w:cs="黑体"/>
          <w:b/>
          <w:color w:val="1F3864"/>
          <w:sz w:val="26"/>
        </w:rPr>
        <w:t>全国独立企业联盟诉西贝利厄斯案</w:t>
      </w:r>
    </w:p>
    <w:p>
      <w:pPr>
        <w:keepNext/>
        <w:spacing w:after="60"/>
      </w:pPr>
      <w:r>
        <w:rPr>
          <w:rFonts w:ascii="Times New Roman" w:hAnsi="Times New Roman" w:eastAsia="宋体" w:cs="Times New Roman"/>
          <w:i/>
          <w:color w:val="595959"/>
          <w:sz w:val="18"/>
        </w:rPr>
        <w:t>National Federation of Independent Business v. Sebelius</w:t>
      </w:r>
    </w:p>
    <w:p>
      <w:pPr>
        <w:keepNext/>
        <w:spacing w:after="160"/>
      </w:pPr>
      <w:r>
        <w:rPr>
          <w:rFonts w:ascii="Times New Roman" w:hAnsi="Times New Roman" w:eastAsia="宋体" w:cs="Times New Roman"/>
          <w:color w:val="808080"/>
          <w:sz w:val="16"/>
        </w:rPr>
        <w:t>567 U.S. 519 · 2012 年 6 月 28 日 · 5–4，罗伯茨首席大法官执笔</w:t>
      </w:r>
    </w:p>
    <w:p>
      <w:pPr>
        <w:keepNext w:val="0"/>
        <w:spacing w:after="120" w:line="336" w:lineRule="auto"/>
        <w:jc w:val="both"/>
      </w:pPr>
      <w:r>
        <w:rPr>
          <w:rFonts w:ascii="Times New Roman" w:hAnsi="Times New Roman" w:eastAsia="宋体" w:cs="Times New Roman"/>
          <w:color w:val="222222"/>
          <w:sz w:val="19"/>
        </w:rPr>
        <w:t>《平价医疗法》要求个人购买医疗保险，否则缴纳罚款；二十六个州起诉主张其超出商业条款权限。法院认为，国会不能强制个人从事商业活动，但该条款可作为征税权行使而合宪。</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To an economist, perhaps, there is no difference between activity and inactivity; both have measurable economic effects on commerce. But the distinction between doing something and doing nothing would not have been lost on the Framers, who were "practical statesmen," not metaphysical philosophers. Industrial Union Dept., AFL–CIO v. American Petroleum Institute, 448 U.S. 607, 673 (1980) (Rehnquist, J., concurring in judgment). As we have explained, "the framers of the Constitution were not mere visionaries, toying with speculations or theories, but practical men, dealing with the facts of political life as they understood them, putting into form the government they were creating, and prescribing in language clear and intelligible the powers that government was to take." South Carolina v. United States, 199 U.S. 437, 449 (1905). The Framers gave Congress the power to regulate commerce, not to compel it, and for over 200 years both our decisions and Congress's actions have reflected this understanding. There is no reason to depart from that understanding now. Under the mandate, if an individual does not maintain health insurance, the only consequence is that he must make an additional payment to the IRS when he pays his taxes. See § 5000A(b). That, according to the Government, means the mandate can be regarded as establishing a condition—not owning health insurance—that triggers a tax—the required payment to the IRS. Under that theory, the mandate is not a legal command to buy insurance. Rather, it makes going without insurance just another thing the Government taxes, like buying gasoline or earning income.</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在一位经济学家看来，作为与不作为之间或许并无区别；二者都对商业产生可度量的经济影响。但“做某事”与“什么都不做”之间的区分，制宪者不会不懂，他们是“讲求实际的政治家”，而非形而上学哲学家。工业工会部（AFL—CIO）诉美国石油学会案，448 U.S. 607, 673（1980年）（伦奎斯特法官，同意判决意见）。正如我们已解释的，“宪法的制定者并非纯粹的幻想家，不是在思辨或理论中消遣，而是讲求实际的人，他们以自己所理解的政治生活事实为依据，为他们正在创建的政府塑形，并以清晰易懂的语言规定该政府应当享有的权力。”南卡罗来纳诉美国案，199 U.S. 437, 449（1905年）。制宪者赋予国会的是规制商业的权力，而不是强制商业的权力；两百多年来，我们的判决和国会的行为都体现了这一理解。现在没有理由背离这一理解。 依该强制参保要求，个人若不维持医疗保险，唯一后果是在缴税时须向国税局额外缴款。参见第5000A(b)条。据政府所言，这意味着该要求可以被视为设定了一项条件——不拥有医疗保险——而该条件触发一项税，即向国税局缴纳的款项。按照这一理论，该要求并不是购买保险的法律命令，而只是使不参保成为政府征税的又一项事由，如同购买汽油或取得收入。</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判决同时限缩了商业条款、扩张了征税权，是近二十年最重要的联邦制判决之一；其推理此后被反复援引与批评。</w:t>
      </w:r>
    </w:p>
    <w:p>
      <w:pPr>
        <w:spacing w:before="40" w:after="40"/>
      </w:pPr>
      <w:r>
        <w:rPr>
          <w:rFonts w:ascii="Times New Roman" w:hAnsi="Times New Roman" w:eastAsia="宋体" w:cs="Times New Roman"/>
          <w:color w:val="808080"/>
          <w:sz w:val="15"/>
        </w:rPr>
        <w:t>来源：https://www.law.cornell.edu/supremecourt/text/11-393</w:t>
      </w:r>
    </w:p>
    <w:p>
      <w:pPr>
        <w:keepNext/>
        <w:spacing w:before="440" w:after="40"/>
      </w:pPr>
      <w:r>
        <w:rPr>
          <w:rFonts w:ascii="黑体" w:hAnsi="黑体" w:eastAsia="黑体" w:cs="黑体"/>
          <w:b/>
          <w:color w:val="1F3864"/>
          <w:sz w:val="26"/>
        </w:rPr>
        <w:t>俄亥俄州诉美国运通案</w:t>
      </w:r>
    </w:p>
    <w:p>
      <w:pPr>
        <w:keepNext/>
        <w:spacing w:after="60"/>
      </w:pPr>
      <w:r>
        <w:rPr>
          <w:rFonts w:ascii="Times New Roman" w:hAnsi="Times New Roman" w:eastAsia="宋体" w:cs="Times New Roman"/>
          <w:i/>
          <w:color w:val="595959"/>
          <w:sz w:val="18"/>
        </w:rPr>
        <w:t>Ohio v. American Express Co.</w:t>
      </w:r>
    </w:p>
    <w:p>
      <w:pPr>
        <w:keepNext/>
        <w:spacing w:after="160"/>
      </w:pPr>
      <w:r>
        <w:rPr>
          <w:rFonts w:ascii="Times New Roman" w:hAnsi="Times New Roman" w:eastAsia="宋体" w:cs="Times New Roman"/>
          <w:color w:val="808080"/>
          <w:sz w:val="16"/>
        </w:rPr>
        <w:t>585 U.S. 529 · 2018 年 6 月 25 日 · 5–4，托马斯法官执笔</w:t>
      </w:r>
    </w:p>
    <w:p>
      <w:pPr>
        <w:keepNext w:val="0"/>
        <w:spacing w:after="120" w:line="336" w:lineRule="auto"/>
        <w:jc w:val="both"/>
      </w:pPr>
      <w:r>
        <w:rPr>
          <w:rFonts w:ascii="Times New Roman" w:hAnsi="Times New Roman" w:eastAsia="宋体" w:cs="Times New Roman"/>
          <w:color w:val="222222"/>
          <w:sz w:val="19"/>
        </w:rPr>
        <w:t>美国运通禁止商家引导顾客使用费率更低的银行卡，俄亥俄等州主张该“反引导条款”限制竞争。法院认为，信用卡市场是双边市场，须同时评估商户与持卡人两侧，原告未能证明其反竞争效果。</w:t>
      </w:r>
    </w:p>
    <w:p>
      <w:pPr>
        <w:keepNext/>
        <w:spacing w:before="80" w:after="40"/>
      </w:pPr>
      <w:r>
        <w:rPr>
          <w:rFonts w:ascii="Times New Roman" w:hAnsi="Times New Roman" w:eastAsia="宋体" w:cs="Times New Roman"/>
          <w:color w:val="808080"/>
          <w:spacing w:val="30"/>
          <w:sz w:val="16"/>
        </w:rPr>
        <w:t>法院意见（节选） / OPINION OF THE COURT</w:t>
      </w:r>
    </w:p>
    <w:p>
      <w:pPr>
        <w:keepNext w:val="0"/>
        <w:pBdr>
          <w:left w:val="single" w:sz="12" w:space="10" w:color="C9D3E3"/>
        </w:pBdr>
        <w:spacing w:before="20" w:after="20" w:line="288" w:lineRule="auto"/>
        <w:ind w:left="425" w:right="227"/>
      </w:pPr>
      <w:r>
        <w:rPr>
          <w:rFonts w:ascii="Times New Roman" w:hAnsi="Times New Roman" w:eastAsia="宋体" w:cs="Times New Roman"/>
          <w:color w:val="222222"/>
          <w:sz w:val="19"/>
        </w:rPr>
        <w:t>By providing these services to cardholders and merchants, credit-card companies bring these parties together, and therefore operate what economists call a "two-sided platform." As the name implies, a two-sided platform offers different products or services to two different groups who both depend on the platform to intermediate between them. [...] For credit cards, that interaction is a transaction. Thus, credit-card networks are a special type of two-sided platform known as a "transaction" platform. [...] The key feature of transaction platforms is that they cannot make a sale to one side of the platform without simultaneously making a sale to the other. [...] For example, no credit-card transaction can occur unless both the merchant and the cardholder simultaneously agree to use the same credit-card network. Two-sided platforms differ from traditional markets in important ways. Most relevant here, two-sided platforms often exhibit what economists call "indirect network effects." [...] In other words, the value of the services that a two-sided platform provides increases as the number of participants on both sides of the platform increases. A credit card, for example, is more valuable to cardholders when more merchants accept it, and is more valuable to merchants when more cardholders use it. In sum, the plaintiffs have not satisfied the first step of the rule of reason. They have not carried their burden of proving that Amex's antisteering provisions have anticompetitive effects.</w:t>
      </w:r>
    </w:p>
    <w:p>
      <w:pPr>
        <w:pBdr>
          <w:left w:val="single" w:sz="12" w:space="10" w:color="C9D3E3"/>
        </w:pBdr>
        <w:spacing w:before="40" w:after="40" w:line="324" w:lineRule="auto"/>
        <w:ind w:left="425" w:right="227"/>
      </w:pPr>
      <w:r>
        <w:rPr>
          <w:rFonts w:ascii="Times New Roman" w:hAnsi="Times New Roman" w:eastAsia="宋体" w:cs="Times New Roman"/>
          <w:color w:val="595959"/>
          <w:sz w:val="19"/>
        </w:rPr>
        <w:t>通过向持卡人和商户提供这些服务，信用卡公司将这两方主体联结在一起，因而经营的是经济学家所称的“双边平台”。顾名思义，双边平台向两个不同的群体提供不同的产品或服务，而这两个群体都依赖该平台在它们之间居中撮合。[...] 就信用卡而言，这种互动即一笔交易。因此，信用卡网络是一种特殊类型的双边平台，被称为“交易”平台。[...] 交易平台的关键特征在于：若不能同时向平台一方完成销售，就无法向另一方完成销售。[...] 例如，除非商户与持卡人同时同意使用同一信用卡网络，任何信用卡交易都无法发生。 双边平台在重要方面不同于传统市场。与此最相关的是，双边平台往往表现出经济学家所称的“间接网络效应”。[...] 换言之，双边平台所提供服务的价值，随平台两侧参与者数量的增加而增加。例如，接受信用卡的商户越多，信用卡对持卡人越有价值；使用信用卡的持卡人越多，信用卡对商户也越有价值。 总之，原告未能满足合理原则分析的第一步要求。他们未能履行举证责任，证明美国运通的反引导条款具有反竞争效果。</w:t>
      </w:r>
    </w:p>
    <w:p>
      <w:pPr>
        <w:keepNext/>
        <w:spacing w:before="80" w:after="80" w:line="336" w:lineRule="auto"/>
        <w:jc w:val="both"/>
      </w:pPr>
      <w:r>
        <w:rPr>
          <w:rFonts w:ascii="黑体" w:hAnsi="黑体" w:eastAsia="黑体" w:cs="黑体"/>
          <w:b/>
          <w:color w:val="1F3864"/>
          <w:sz w:val="18"/>
        </w:rPr>
        <w:t xml:space="preserve">影响　</w:t>
      </w:r>
      <w:r>
        <w:rPr>
          <w:rFonts w:ascii="Times New Roman" w:hAnsi="Times New Roman" w:eastAsia="宋体" w:cs="Times New Roman"/>
          <w:color w:val="595959"/>
          <w:sz w:val="18"/>
        </w:rPr>
        <w:t>判决确立了双边市场的反托拉斯分析框架，对平台经济时代的竞争法影响深远，也引发关于举证责任的持续争论。</w:t>
      </w:r>
    </w:p>
    <w:p>
      <w:pPr>
        <w:spacing w:before="40" w:after="40"/>
      </w:pPr>
      <w:r>
        <w:rPr>
          <w:rFonts w:ascii="Times New Roman" w:hAnsi="Times New Roman" w:eastAsia="宋体" w:cs="Times New Roman"/>
          <w:color w:val="808080"/>
          <w:sz w:val="15"/>
        </w:rPr>
        <w:t>来源：https://www.law.cornell.edu/supremecourt/text/16-1454</w:t>
      </w:r>
    </w:p>
    <w:p>
      <w:pPr>
        <w:pageBreakBefore/>
        <w:pBdr>
          <w:bottom w:val="single" w:sz="4" w:space="4" w:color="BFBFBF"/>
        </w:pBdr>
        <w:spacing w:after="200"/>
      </w:pPr>
      <w:r>
        <w:rPr>
          <w:rFonts w:ascii="黑体" w:hAnsi="黑体" w:eastAsia="黑体" w:cs="黑体"/>
          <w:b/>
          <w:color w:val="1F3864"/>
          <w:sz w:val="28"/>
        </w:rPr>
        <w:t>延伸阅读</w:t>
      </w:r>
    </w:p>
    <w:p>
      <w:pPr>
        <w:spacing w:after="20"/>
      </w:pPr>
      <w:r>
        <w:rPr>
          <w:rFonts w:ascii="Times New Roman" w:hAnsi="Times New Roman" w:eastAsia="宋体" w:cs="Times New Roman"/>
          <w:color w:val="222222"/>
          <w:sz w:val="18"/>
        </w:rPr>
        <w:t>康奈尔法律信息研究所 · 美国法典</w:t>
      </w:r>
    </w:p>
    <w:p>
      <w:pPr>
        <w:spacing w:after="180"/>
      </w:pPr>
      <w:r>
        <w:rPr>
          <w:rFonts w:ascii="Times New Roman" w:hAnsi="Times New Roman" w:eastAsia="宋体" w:cs="Times New Roman"/>
          <w:color w:val="808080"/>
          <w:sz w:val="16"/>
        </w:rPr>
        <w:t>https://www.law.cornell.edu/uscode/text</w:t>
      </w:r>
    </w:p>
    <w:p>
      <w:pPr>
        <w:spacing w:after="20"/>
      </w:pPr>
      <w:r>
        <w:rPr>
          <w:rFonts w:ascii="Times New Roman" w:hAnsi="Times New Roman" w:eastAsia="宋体" w:cs="Times New Roman"/>
          <w:color w:val="222222"/>
          <w:sz w:val="18"/>
        </w:rPr>
        <w:t>康奈尔 LII · 最高法院判决全文</w:t>
      </w:r>
    </w:p>
    <w:p>
      <w:pPr>
        <w:spacing w:after="180"/>
      </w:pPr>
      <w:r>
        <w:rPr>
          <w:rFonts w:ascii="Times New Roman" w:hAnsi="Times New Roman" w:eastAsia="宋体" w:cs="Times New Roman"/>
          <w:color w:val="808080"/>
          <w:sz w:val="16"/>
        </w:rPr>
        <w:t>https://www.law.cornell.edu/supremecourt/text</w:t>
      </w:r>
    </w:p>
    <w:p>
      <w:pPr>
        <w:spacing w:after="20"/>
      </w:pPr>
      <w:r>
        <w:rPr>
          <w:rFonts w:ascii="Times New Roman" w:hAnsi="Times New Roman" w:eastAsia="宋体" w:cs="Times New Roman"/>
          <w:color w:val="222222"/>
          <w:sz w:val="18"/>
        </w:rPr>
        <w:t>司法部反托拉斯司 · 指南与案例</w:t>
      </w:r>
    </w:p>
    <w:p>
      <w:pPr>
        <w:spacing w:after="180"/>
      </w:pPr>
      <w:r>
        <w:rPr>
          <w:rFonts w:ascii="Times New Roman" w:hAnsi="Times New Roman" w:eastAsia="宋体" w:cs="Times New Roman"/>
          <w:color w:val="808080"/>
          <w:sz w:val="16"/>
        </w:rPr>
        <w:t>https://www.justice.gov/atr</w:t>
      </w:r>
    </w:p>
    <w:p>
      <w:pPr>
        <w:spacing w:after="20"/>
      </w:pPr>
      <w:r>
        <w:rPr>
          <w:rFonts w:ascii="Times New Roman" w:hAnsi="Times New Roman" w:eastAsia="宋体" w:cs="Times New Roman"/>
          <w:color w:val="222222"/>
          <w:sz w:val="18"/>
        </w:rPr>
        <w:t>联邦贸易委员会 · 执法与规则</w:t>
      </w:r>
    </w:p>
    <w:p>
      <w:pPr>
        <w:spacing w:after="180"/>
      </w:pPr>
      <w:r>
        <w:rPr>
          <w:rFonts w:ascii="Times New Roman" w:hAnsi="Times New Roman" w:eastAsia="宋体" w:cs="Times New Roman"/>
          <w:color w:val="808080"/>
          <w:sz w:val="16"/>
        </w:rPr>
        <w:t>https://www.ftc.gov</w:t>
      </w:r>
    </w:p>
    <w:p>
      <w:pPr>
        <w:spacing w:after="20"/>
      </w:pPr>
      <w:r>
        <w:rPr>
          <w:rFonts w:ascii="Times New Roman" w:hAnsi="Times New Roman" w:eastAsia="宋体" w:cs="Times New Roman"/>
          <w:color w:val="222222"/>
          <w:sz w:val="18"/>
        </w:rPr>
        <w:t>证券交易委员会 SEC · 规则与执法</w:t>
      </w:r>
    </w:p>
    <w:p>
      <w:pPr>
        <w:spacing w:after="180"/>
      </w:pPr>
      <w:r>
        <w:rPr>
          <w:rFonts w:ascii="Times New Roman" w:hAnsi="Times New Roman" w:eastAsia="宋体" w:cs="Times New Roman"/>
          <w:color w:val="808080"/>
          <w:sz w:val="16"/>
        </w:rPr>
        <w:t>https://www.sec.gov</w:t>
      </w:r>
    </w:p>
    <w:p>
      <w:pPr>
        <w:spacing w:after="20"/>
      </w:pPr>
      <w:r>
        <w:rPr>
          <w:rFonts w:ascii="Times New Roman" w:hAnsi="Times New Roman" w:eastAsia="宋体" w:cs="Times New Roman"/>
          <w:color w:val="222222"/>
          <w:sz w:val="18"/>
        </w:rPr>
        <w:t>联邦储备委员会 · 数据与报告</w:t>
      </w:r>
    </w:p>
    <w:p>
      <w:pPr>
        <w:spacing w:after="180"/>
      </w:pPr>
      <w:r>
        <w:rPr>
          <w:rFonts w:ascii="Times New Roman" w:hAnsi="Times New Roman" w:eastAsia="宋体" w:cs="Times New Roman"/>
          <w:color w:val="808080"/>
          <w:sz w:val="16"/>
        </w:rPr>
        <w:t>https://www.federalreserve.gov</w:t>
      </w:r>
    </w:p>
    <w:p>
      <w:pPr>
        <w:spacing w:after="20"/>
      </w:pPr>
      <w:r>
        <w:rPr>
          <w:rFonts w:ascii="Times New Roman" w:hAnsi="Times New Roman" w:eastAsia="宋体" w:cs="Times New Roman"/>
          <w:color w:val="222222"/>
          <w:sz w:val="18"/>
        </w:rPr>
        <w:t>国会研究服务处 CRS · 经济政策报告</w:t>
      </w:r>
    </w:p>
    <w:p>
      <w:pPr>
        <w:spacing w:after="180"/>
      </w:pPr>
      <w:r>
        <w:rPr>
          <w:rFonts w:ascii="Times New Roman" w:hAnsi="Times New Roman" w:eastAsia="宋体" w:cs="Times New Roman"/>
          <w:color w:val="808080"/>
          <w:sz w:val="16"/>
        </w:rPr>
        <w:t>https://crsreports.congress.gov</w:t>
      </w:r>
    </w:p>
    <w:p>
      <w:pPr>
        <w:spacing w:after="20"/>
      </w:pPr>
      <w:r>
        <w:rPr>
          <w:rFonts w:ascii="Times New Roman" w:hAnsi="Times New Roman" w:eastAsia="宋体" w:cs="Times New Roman"/>
          <w:color w:val="222222"/>
          <w:sz w:val="18"/>
        </w:rPr>
        <w:t>FRED 经济数据</w:t>
      </w:r>
    </w:p>
    <w:p>
      <w:pPr>
        <w:spacing w:after="180"/>
      </w:pPr>
      <w:r>
        <w:rPr>
          <w:rFonts w:ascii="Times New Roman" w:hAnsi="Times New Roman" w:eastAsia="宋体" w:cs="Times New Roman"/>
          <w:color w:val="808080"/>
          <w:sz w:val="16"/>
        </w:rPr>
        <w:t>https://fred.stlouisfed.org</w:t>
      </w:r>
    </w:p>
    <w:p>
      <w:pPr>
        <w:spacing w:before="360"/>
      </w:pPr>
      <w:r>
        <w:rPr>
          <w:rFonts w:ascii="Times New Roman" w:hAnsi="Times New Roman" w:eastAsia="宋体" w:cs="Times New Roman"/>
          <w:color w:val="808080"/>
          <w:sz w:val="16"/>
        </w:rPr>
        <w:t>本册由编译者整理排印 · 2026 年 10 月</w:t>
      </w:r>
    </w:p>
    <w:sectPr w:rsidR="00FC693F" w:rsidRPr="0006063C" w:rsidSect="00034616">
      <w:headerReference w:type="default" r:id="rId9"/>
      <w:footerReference w:type="default" r:id="rId10"/>
      <w:pgSz w:w="11906" w:h="16838"/>
      <w:pgMar w:top="1304" w:right="1417" w:bottom="1247" w:left="141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color w:val="808080"/>
        <w:sz w:val="18"/>
      </w:rPr>
      <w:t xml:space="preserve">—  </w:t>
    </w:r>
    <w:fldSimple w:instr=" PAGE ">
      <w:r>
        <w:rPr>
          <w:sz w:val="18"/>
        </w:rPr>
        <w:t>1</w:t>
      </w:r>
    </w:fldSimple>
    <w:r>
      <w:rPr>
        <w:rFonts w:ascii="Times New Roman" w:hAnsi="Times New Roman" w:eastAsia="宋体" w:cs="Times New Roman"/>
        <w:color w:val="8080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BFBFBF"/>
      </w:pBdr>
      <w:jc w:val="center"/>
    </w:pPr>
    <w:r>
      <w:rPr>
        <w:rFonts w:ascii="Times New Roman" w:hAnsi="Times New Roman" w:eastAsia="宋体" w:cs="Times New Roman"/>
        <w:color w:val="808080"/>
        <w:sz w:val="17"/>
      </w:rPr>
      <w:t>美国经济法 · 法案与判例选读</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美国经济法：法案与判例选读（中英对照）</dc:title>
  <dc:subject>Landmark economic statutes and decisions, bilingual reader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