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美利坚合众国司法文献</w:t>
      </w:r>
    </w:p>
    <w:p>
      <w:pPr>
        <w:pBdr>
          <w:bottom w:val="single" w:sz="8" w:space="14" w:color="1F3864"/>
        </w:pBdr>
        <w:spacing w:before="600" w:after="200"/>
        <w:jc w:val="center"/>
      </w:pPr>
      <w:r>
        <w:rPr>
          <w:rFonts w:ascii="黑体" w:hAnsi="黑体" w:eastAsia="黑体" w:cs="黑体"/>
          <w:b/>
          <w:color w:val="1F3864"/>
          <w:spacing w:val="60"/>
          <w:sz w:val="64"/>
        </w:rPr>
        <w:t>司法史判例选读</w:t>
      </w:r>
    </w:p>
    <w:p>
      <w:pPr>
        <w:spacing w:before="200" w:after="80"/>
        <w:jc w:val="center"/>
      </w:pPr>
      <w:r>
        <w:rPr>
          <w:rFonts w:ascii="Times New Roman" w:hAnsi="Times New Roman" w:eastAsia="宋体" w:cs="Times New Roman"/>
          <w:color w:val="595959"/>
          <w:sz w:val="30"/>
        </w:rPr>
        <w:t>Landmark Decisions of the U.S. Supreme Court</w:t>
      </w:r>
    </w:p>
    <w:p>
      <w:pPr>
        <w:spacing w:before="960" w:after="80"/>
        <w:jc w:val="center"/>
      </w:pPr>
      <w:r>
        <w:rPr>
          <w:rFonts w:ascii="Times New Roman" w:hAnsi="Times New Roman" w:eastAsia="宋体" w:cs="Times New Roman"/>
          <w:color w:val="222222"/>
          <w:sz w:val="22"/>
        </w:rPr>
        <w:t>从马伯里到洛珀·布莱特：十八个塑造宪法秩序的判决（1803—2024）</w:t>
      </w:r>
    </w:p>
    <w:p>
      <w:pPr>
        <w:spacing w:before="4000" w:after="40"/>
        <w:jc w:val="center"/>
      </w:pPr>
      <w:r>
        <w:rPr>
          <w:rFonts w:ascii="Times New Roman" w:hAnsi="Times New Roman" w:eastAsia="宋体" w:cs="Times New Roman"/>
          <w:color w:val="808080"/>
          <w:sz w:val="17"/>
        </w:rPr>
        <w:t>判决意见据康奈尔法律信息研究所等公开的官方文本逐字摘录</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美国司法史的一条主线，是法院如何在宪法文本、先例与政治权力之间划定自己的权限。1803 年 Marbury v. Madison 宣告“解释法律正是司法部门的职责所在”，从此法院可以在一具体案件中宣布违反宪法的立法无效——这项权力没有明文写入宪法，却成为美国宪政的结构性支柱。1819 年 McCulloch 案则以“必要与适当”条款为联邦权力提供了宽泛的依据。</w:t>
      </w:r>
    </w:p>
    <w:p>
      <w:pPr>
        <w:spacing w:after="120" w:line="324" w:lineRule="auto"/>
        <w:ind w:firstLine="420"/>
        <w:jc w:val="both"/>
      </w:pPr>
      <w:r>
        <w:rPr>
          <w:rFonts w:ascii="Times New Roman" w:hAnsi="Times New Roman" w:eastAsia="宋体" w:cs="Times New Roman"/>
          <w:color w:val="222222"/>
          <w:sz w:val="19"/>
        </w:rPr>
        <w:t>此后两百年，法院的角色几经转折。1905 年 Lochner 案以契约自由审查社会立法，直到 1937 年才放弃；1950—60 年代的Warren 法院把权利法案逐条适用于各州，催生 Mapp、Gideon、Miranda 等刑事程序判决，并以 Sullivan 案为新闻自由划出宽阔边界；1973 年 Roe 案把隐私权延伸到堕胎，1974 年 Nixon 案则确认总统亦须交出证据。</w:t>
      </w:r>
    </w:p>
    <w:p>
      <w:pPr>
        <w:spacing w:after="120" w:line="324" w:lineRule="auto"/>
        <w:ind w:firstLine="420"/>
        <w:jc w:val="both"/>
      </w:pPr>
      <w:r>
        <w:rPr>
          <w:rFonts w:ascii="Times New Roman" w:hAnsi="Times New Roman" w:eastAsia="宋体" w:cs="Times New Roman"/>
          <w:color w:val="222222"/>
          <w:sz w:val="19"/>
        </w:rPr>
        <w:t>最近二十余年，法院的立场再度移动：2000 年 Bush v. Gore 直接终结了一场总统选举的计票争议；2008 年 Heller 案首次确认第二修正案的个人持枪权；2022 年 Dobbs 案推翻 Roe；2024 年 Loper Bright 案推翻 Chevron，收缩了行政机关解释法律的空间。这十八个判决并不构成一部完整的司法史，但它们标记了法院在每一个时代最用力介入的位置。</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一、判决意见均据公开的官方文本逐字摘录，省略处以 [...] 标示；每条末尾注明所据网址。</w:t>
      </w:r>
    </w:p>
    <w:p>
      <w:pPr>
        <w:spacing w:after="120" w:line="324" w:lineRule="auto"/>
        <w:ind w:firstLine="420"/>
        <w:jc w:val="both"/>
      </w:pPr>
      <w:r>
        <w:rPr>
          <w:rFonts w:ascii="Times New Roman" w:hAnsi="Times New Roman" w:eastAsia="宋体" w:cs="Times New Roman"/>
          <w:color w:val="222222"/>
          <w:sz w:val="19"/>
        </w:rPr>
        <w:t>二、节选只保留表述裁判理由的关键段落，不收录全文；事实、争点与影响由编者以中文概述，供对照阅读。</w:t>
      </w:r>
    </w:p>
    <w:p>
      <w:pPr>
        <w:spacing w:after="120" w:line="324" w:lineRule="auto"/>
        <w:ind w:firstLine="420"/>
        <w:jc w:val="both"/>
      </w:pPr>
      <w:r>
        <w:rPr>
          <w:rFonts w:ascii="Times New Roman" w:hAnsi="Times New Roman" w:eastAsia="宋体" w:cs="Times New Roman"/>
          <w:color w:val="222222"/>
          <w:sz w:val="19"/>
        </w:rPr>
        <w:t>三、中文译文为研究与教学参考，不是官方译本；引用时请以英文原文与官方报告卷页为准。</w:t>
      </w:r>
    </w:p>
    <w:p>
      <w:pPr>
        <w:spacing w:after="120" w:line="324" w:lineRule="auto"/>
        <w:ind w:firstLine="420"/>
        <w:jc w:val="both"/>
      </w:pPr>
      <w:r>
        <w:rPr>
          <w:rFonts w:ascii="Times New Roman" w:hAnsi="Times New Roman" w:eastAsia="宋体" w:cs="Times New Roman"/>
          <w:color w:val="222222"/>
          <w:sz w:val="19"/>
        </w:rPr>
        <w:t>四、案件译名沿用通行译法；同一案件在不同文献中的译名可能略有出入，首次出现时附英文案名与引证。</w:t>
      </w:r>
    </w:p>
    <w:p>
      <w:pPr>
        <w:spacing w:after="120" w:line="324" w:lineRule="auto"/>
        <w:ind w:firstLine="420"/>
        <w:jc w:val="both"/>
      </w:pPr>
      <w:r>
        <w:rPr>
          <w:rFonts w:ascii="Times New Roman" w:hAnsi="Times New Roman" w:eastAsia="宋体" w:cs="Times New Roman"/>
          <w:color w:val="222222"/>
          <w:sz w:val="19"/>
        </w:rPr>
        <w:t>五、判决的“影响”一栏为编者评述，包含后续被推翻、限缩或扩张的情况，不代表法院立场。</w:t>
      </w:r>
    </w:p>
    <w:p>
      <w:r>
        <w:br w:type="page"/>
      </w:r>
    </w:p>
    <w:p>
      <w:pPr>
        <w:pBdr>
          <w:bottom w:val="single" w:sz="8" w:space="6" w:color="1F3864"/>
        </w:pBdr>
        <w:spacing w:after="80"/>
      </w:pPr>
      <w:r>
        <w:rPr>
          <w:rFonts w:ascii="黑体" w:hAnsi="黑体" w:eastAsia="黑体" w:cs="黑体"/>
          <w:b/>
          <w:color w:val="1F3864"/>
          <w:sz w:val="32"/>
        </w:rPr>
        <w:t>判例年表</w:t>
      </w:r>
    </w:p>
    <w:p>
      <w:pPr>
        <w:spacing w:after="280"/>
      </w:pPr>
      <w:r>
        <w:rPr>
          <w:rFonts w:ascii="Times New Roman" w:hAnsi="Times New Roman" w:eastAsia="宋体" w:cs="Times New Roman"/>
          <w:color w:val="808080"/>
          <w:sz w:val="18"/>
        </w:rPr>
        <w:t>Chronology, 1803-2024</w:t>
      </w:r>
    </w:p>
    <w:p>
      <w:pPr>
        <w:spacing w:after="80" w:line="300" w:lineRule="auto"/>
        <w:ind w:left="879" w:hanging="879"/>
      </w:pPr>
      <w:r>
        <w:rPr>
          <w:rFonts w:ascii="Times New Roman" w:hAnsi="Times New Roman" w:eastAsia="宋体" w:cs="Times New Roman"/>
          <w:b/>
          <w:color w:val="1F3864"/>
          <w:sz w:val="19"/>
        </w:rPr>
        <w:t xml:space="preserve">1803　</w:t>
      </w:r>
      <w:r>
        <w:rPr>
          <w:rFonts w:ascii="Times New Roman" w:hAnsi="Times New Roman" w:eastAsia="宋体" w:cs="Times New Roman"/>
          <w:color w:val="222222"/>
          <w:sz w:val="19"/>
        </w:rPr>
        <w:t>Marbury v. Madison：确立司法审查。</w:t>
      </w:r>
    </w:p>
    <w:p>
      <w:pPr>
        <w:spacing w:after="80" w:line="300" w:lineRule="auto"/>
        <w:ind w:left="879" w:hanging="879"/>
      </w:pPr>
      <w:r>
        <w:rPr>
          <w:rFonts w:ascii="Times New Roman" w:hAnsi="Times New Roman" w:eastAsia="宋体" w:cs="Times New Roman"/>
          <w:b/>
          <w:color w:val="1F3864"/>
          <w:sz w:val="19"/>
        </w:rPr>
        <w:t xml:space="preserve">1819　</w:t>
      </w:r>
      <w:r>
        <w:rPr>
          <w:rFonts w:ascii="Times New Roman" w:hAnsi="Times New Roman" w:eastAsia="宋体" w:cs="Times New Roman"/>
          <w:color w:val="222222"/>
          <w:sz w:val="19"/>
        </w:rPr>
        <w:t>McCulloch v. Maryland：默示权力与联邦至上。</w:t>
      </w:r>
    </w:p>
    <w:p>
      <w:pPr>
        <w:spacing w:after="80" w:line="300" w:lineRule="auto"/>
        <w:ind w:left="879" w:hanging="879"/>
      </w:pPr>
      <w:r>
        <w:rPr>
          <w:rFonts w:ascii="Times New Roman" w:hAnsi="Times New Roman" w:eastAsia="宋体" w:cs="Times New Roman"/>
          <w:b/>
          <w:color w:val="1F3864"/>
          <w:sz w:val="19"/>
        </w:rPr>
        <w:t xml:space="preserve">1857　</w:t>
      </w:r>
      <w:r>
        <w:rPr>
          <w:rFonts w:ascii="Times New Roman" w:hAnsi="Times New Roman" w:eastAsia="宋体" w:cs="Times New Roman"/>
          <w:color w:val="222222"/>
          <w:sz w:val="19"/>
        </w:rPr>
        <w:t>Dred Scott v. Sandford：黑人非公民，密苏里妥协违宪。</w:t>
      </w:r>
    </w:p>
    <w:p>
      <w:pPr>
        <w:spacing w:after="80" w:line="300" w:lineRule="auto"/>
        <w:ind w:left="879" w:hanging="879"/>
      </w:pPr>
      <w:r>
        <w:rPr>
          <w:rFonts w:ascii="Times New Roman" w:hAnsi="Times New Roman" w:eastAsia="宋体" w:cs="Times New Roman"/>
          <w:b/>
          <w:color w:val="1F3864"/>
          <w:sz w:val="19"/>
        </w:rPr>
        <w:t xml:space="preserve">1905　</w:t>
      </w:r>
      <w:r>
        <w:rPr>
          <w:rFonts w:ascii="Times New Roman" w:hAnsi="Times New Roman" w:eastAsia="宋体" w:cs="Times New Roman"/>
          <w:color w:val="222222"/>
          <w:sz w:val="19"/>
        </w:rPr>
        <w:t>Lochner v. New York：以契约自由审查经济立法。</w:t>
      </w:r>
    </w:p>
    <w:p>
      <w:pPr>
        <w:spacing w:after="80" w:line="300" w:lineRule="auto"/>
        <w:ind w:left="879" w:hanging="879"/>
      </w:pPr>
      <w:r>
        <w:rPr>
          <w:rFonts w:ascii="Times New Roman" w:hAnsi="Times New Roman" w:eastAsia="宋体" w:cs="Times New Roman"/>
          <w:b/>
          <w:color w:val="1F3864"/>
          <w:sz w:val="19"/>
        </w:rPr>
        <w:t xml:space="preserve">1919　</w:t>
      </w:r>
      <w:r>
        <w:rPr>
          <w:rFonts w:ascii="Times New Roman" w:hAnsi="Times New Roman" w:eastAsia="宋体" w:cs="Times New Roman"/>
          <w:color w:val="222222"/>
          <w:sz w:val="19"/>
        </w:rPr>
        <w:t>Schenck v. United States：明显而即刻的危险。</w:t>
      </w:r>
    </w:p>
    <w:p>
      <w:pPr>
        <w:spacing w:after="80" w:line="300" w:lineRule="auto"/>
        <w:ind w:left="879" w:hanging="879"/>
      </w:pPr>
      <w:r>
        <w:rPr>
          <w:rFonts w:ascii="Times New Roman" w:hAnsi="Times New Roman" w:eastAsia="宋体" w:cs="Times New Roman"/>
          <w:b/>
          <w:color w:val="1F3864"/>
          <w:sz w:val="19"/>
        </w:rPr>
        <w:t xml:space="preserve">1944　</w:t>
      </w:r>
      <w:r>
        <w:rPr>
          <w:rFonts w:ascii="Times New Roman" w:hAnsi="Times New Roman" w:eastAsia="宋体" w:cs="Times New Roman"/>
          <w:color w:val="222222"/>
          <w:sz w:val="19"/>
        </w:rPr>
        <w:t>Korematsu v. United States：维持日裔拘禁，后被视为错误。</w:t>
      </w:r>
    </w:p>
    <w:p>
      <w:pPr>
        <w:spacing w:after="80" w:line="300" w:lineRule="auto"/>
        <w:ind w:left="879" w:hanging="879"/>
      </w:pPr>
      <w:r>
        <w:rPr>
          <w:rFonts w:ascii="Times New Roman" w:hAnsi="Times New Roman" w:eastAsia="宋体" w:cs="Times New Roman"/>
          <w:b/>
          <w:color w:val="1F3864"/>
          <w:sz w:val="19"/>
        </w:rPr>
        <w:t xml:space="preserve">1952　</w:t>
      </w:r>
      <w:r>
        <w:rPr>
          <w:rFonts w:ascii="Times New Roman" w:hAnsi="Times New Roman" w:eastAsia="宋体" w:cs="Times New Roman"/>
          <w:color w:val="222222"/>
          <w:sz w:val="19"/>
        </w:rPr>
        <w:t>Youngstown v. Sawyer：总统不得未经国会授权接管钢厂。</w:t>
      </w:r>
    </w:p>
    <w:p>
      <w:pPr>
        <w:spacing w:after="80" w:line="300" w:lineRule="auto"/>
        <w:ind w:left="879" w:hanging="879"/>
      </w:pPr>
      <w:r>
        <w:rPr>
          <w:rFonts w:ascii="Times New Roman" w:hAnsi="Times New Roman" w:eastAsia="宋体" w:cs="Times New Roman"/>
          <w:b/>
          <w:color w:val="1F3864"/>
          <w:sz w:val="19"/>
        </w:rPr>
        <w:t xml:space="preserve">1961　</w:t>
      </w:r>
      <w:r>
        <w:rPr>
          <w:rFonts w:ascii="Times New Roman" w:hAnsi="Times New Roman" w:eastAsia="宋体" w:cs="Times New Roman"/>
          <w:color w:val="222222"/>
          <w:sz w:val="19"/>
        </w:rPr>
        <w:t>Mapp v. Ohio：非法证据排除适用于各州。</w:t>
      </w:r>
    </w:p>
    <w:p>
      <w:pPr>
        <w:spacing w:after="80" w:line="300" w:lineRule="auto"/>
        <w:ind w:left="879" w:hanging="879"/>
      </w:pPr>
      <w:r>
        <w:rPr>
          <w:rFonts w:ascii="Times New Roman" w:hAnsi="Times New Roman" w:eastAsia="宋体" w:cs="Times New Roman"/>
          <w:b/>
          <w:color w:val="1F3864"/>
          <w:sz w:val="19"/>
        </w:rPr>
        <w:t xml:space="preserve">1963　</w:t>
      </w:r>
      <w:r>
        <w:rPr>
          <w:rFonts w:ascii="Times New Roman" w:hAnsi="Times New Roman" w:eastAsia="宋体" w:cs="Times New Roman"/>
          <w:color w:val="222222"/>
          <w:sz w:val="19"/>
        </w:rPr>
        <w:t>Gideon v. Wainwright：贫困被告获得律师帮助权。</w:t>
      </w:r>
    </w:p>
    <w:p>
      <w:pPr>
        <w:spacing w:after="80" w:line="300" w:lineRule="auto"/>
        <w:ind w:left="879" w:hanging="879"/>
      </w:pPr>
      <w:r>
        <w:rPr>
          <w:rFonts w:ascii="Times New Roman" w:hAnsi="Times New Roman" w:eastAsia="宋体" w:cs="Times New Roman"/>
          <w:b/>
          <w:color w:val="1F3864"/>
          <w:sz w:val="19"/>
        </w:rPr>
        <w:t xml:space="preserve">1964　</w:t>
      </w:r>
      <w:r>
        <w:rPr>
          <w:rFonts w:ascii="Times New Roman" w:hAnsi="Times New Roman" w:eastAsia="宋体" w:cs="Times New Roman"/>
          <w:color w:val="222222"/>
          <w:sz w:val="19"/>
        </w:rPr>
        <w:t>New York Times v. Sullivan：公共官员诽谤须证明实际恶意。</w:t>
      </w:r>
    </w:p>
    <w:p>
      <w:pPr>
        <w:spacing w:after="80" w:line="300" w:lineRule="auto"/>
        <w:ind w:left="879" w:hanging="879"/>
      </w:pPr>
      <w:r>
        <w:rPr>
          <w:rFonts w:ascii="Times New Roman" w:hAnsi="Times New Roman" w:eastAsia="宋体" w:cs="Times New Roman"/>
          <w:b/>
          <w:color w:val="1F3864"/>
          <w:sz w:val="19"/>
        </w:rPr>
        <w:t xml:space="preserve">1966　</w:t>
      </w:r>
      <w:r>
        <w:rPr>
          <w:rFonts w:ascii="Times New Roman" w:hAnsi="Times New Roman" w:eastAsia="宋体" w:cs="Times New Roman"/>
          <w:color w:val="222222"/>
          <w:sz w:val="19"/>
        </w:rPr>
        <w:t>Miranda v. Arizona：羁押讯问前的权利告知。</w:t>
      </w:r>
    </w:p>
    <w:p>
      <w:pPr>
        <w:spacing w:after="80" w:line="300" w:lineRule="auto"/>
        <w:ind w:left="879" w:hanging="879"/>
      </w:pPr>
      <w:r>
        <w:rPr>
          <w:rFonts w:ascii="Times New Roman" w:hAnsi="Times New Roman" w:eastAsia="宋体" w:cs="Times New Roman"/>
          <w:b/>
          <w:color w:val="1F3864"/>
          <w:sz w:val="19"/>
        </w:rPr>
        <w:t xml:space="preserve">1973　</w:t>
      </w:r>
      <w:r>
        <w:rPr>
          <w:rFonts w:ascii="Times New Roman" w:hAnsi="Times New Roman" w:eastAsia="宋体" w:cs="Times New Roman"/>
          <w:color w:val="222222"/>
          <w:sz w:val="19"/>
        </w:rPr>
        <w:t>Roe v. Wade：堕胎权受宪法隐私权保护。</w:t>
      </w:r>
    </w:p>
    <w:p>
      <w:pPr>
        <w:spacing w:after="80" w:line="300" w:lineRule="auto"/>
        <w:ind w:left="879" w:hanging="879"/>
      </w:pPr>
      <w:r>
        <w:rPr>
          <w:rFonts w:ascii="Times New Roman" w:hAnsi="Times New Roman" w:eastAsia="宋体" w:cs="Times New Roman"/>
          <w:b/>
          <w:color w:val="1F3864"/>
          <w:sz w:val="19"/>
        </w:rPr>
        <w:t xml:space="preserve">1974　</w:t>
      </w:r>
      <w:r>
        <w:rPr>
          <w:rFonts w:ascii="Times New Roman" w:hAnsi="Times New Roman" w:eastAsia="宋体" w:cs="Times New Roman"/>
          <w:color w:val="222222"/>
          <w:sz w:val="19"/>
        </w:rPr>
        <w:t>United States v. Nixon：行政特权须让位于刑事审判需要。</w:t>
      </w:r>
    </w:p>
    <w:p>
      <w:pPr>
        <w:spacing w:after="80" w:line="300" w:lineRule="auto"/>
        <w:ind w:left="879" w:hanging="879"/>
      </w:pPr>
      <w:r>
        <w:rPr>
          <w:rFonts w:ascii="Times New Roman" w:hAnsi="Times New Roman" w:eastAsia="宋体" w:cs="Times New Roman"/>
          <w:b/>
          <w:color w:val="1F3864"/>
          <w:sz w:val="19"/>
        </w:rPr>
        <w:t xml:space="preserve">1984　</w:t>
      </w:r>
      <w:r>
        <w:rPr>
          <w:rFonts w:ascii="Times New Roman" w:hAnsi="Times New Roman" w:eastAsia="宋体" w:cs="Times New Roman"/>
          <w:color w:val="222222"/>
          <w:sz w:val="19"/>
        </w:rPr>
        <w:t>Chevron v. NRDC：行政机关法律解释的两步检验。</w:t>
      </w:r>
    </w:p>
    <w:p>
      <w:pPr>
        <w:spacing w:after="80" w:line="300" w:lineRule="auto"/>
        <w:ind w:left="879" w:hanging="879"/>
      </w:pPr>
      <w:r>
        <w:rPr>
          <w:rFonts w:ascii="Times New Roman" w:hAnsi="Times New Roman" w:eastAsia="宋体" w:cs="Times New Roman"/>
          <w:b/>
          <w:color w:val="1F3864"/>
          <w:sz w:val="19"/>
        </w:rPr>
        <w:t xml:space="preserve">2000　</w:t>
      </w:r>
      <w:r>
        <w:rPr>
          <w:rFonts w:ascii="Times New Roman" w:hAnsi="Times New Roman" w:eastAsia="宋体" w:cs="Times New Roman"/>
          <w:color w:val="222222"/>
          <w:sz w:val="19"/>
        </w:rPr>
        <w:t>Bush v. Gore：停止佛州重新计票。</w:t>
      </w:r>
    </w:p>
    <w:p>
      <w:pPr>
        <w:spacing w:after="80" w:line="300" w:lineRule="auto"/>
        <w:ind w:left="879" w:hanging="879"/>
      </w:pPr>
      <w:r>
        <w:rPr>
          <w:rFonts w:ascii="Times New Roman" w:hAnsi="Times New Roman" w:eastAsia="宋体" w:cs="Times New Roman"/>
          <w:b/>
          <w:color w:val="1F3864"/>
          <w:sz w:val="19"/>
        </w:rPr>
        <w:t xml:space="preserve">2008　</w:t>
      </w:r>
      <w:r>
        <w:rPr>
          <w:rFonts w:ascii="Times New Roman" w:hAnsi="Times New Roman" w:eastAsia="宋体" w:cs="Times New Roman"/>
          <w:color w:val="222222"/>
          <w:sz w:val="19"/>
        </w:rPr>
        <w:t>District of Columbia v. Heller：第二修正案保护个人持枪权。</w:t>
      </w:r>
    </w:p>
    <w:p>
      <w:pPr>
        <w:spacing w:after="80" w:line="300" w:lineRule="auto"/>
        <w:ind w:left="879" w:hanging="879"/>
      </w:pPr>
      <w:r>
        <w:rPr>
          <w:rFonts w:ascii="Times New Roman" w:hAnsi="Times New Roman" w:eastAsia="宋体" w:cs="Times New Roman"/>
          <w:b/>
          <w:color w:val="1F3864"/>
          <w:sz w:val="19"/>
        </w:rPr>
        <w:t xml:space="preserve">2022　</w:t>
      </w:r>
      <w:r>
        <w:rPr>
          <w:rFonts w:ascii="Times New Roman" w:hAnsi="Times New Roman" w:eastAsia="宋体" w:cs="Times New Roman"/>
          <w:color w:val="222222"/>
          <w:sz w:val="19"/>
        </w:rPr>
        <w:t>Dobbs v. Jackson：推翻 Roe 与 Casey。</w:t>
      </w:r>
    </w:p>
    <w:p>
      <w:pPr>
        <w:spacing w:after="80" w:line="300" w:lineRule="auto"/>
        <w:ind w:left="879" w:hanging="879"/>
      </w:pPr>
      <w:r>
        <w:rPr>
          <w:rFonts w:ascii="Times New Roman" w:hAnsi="Times New Roman" w:eastAsia="宋体" w:cs="Times New Roman"/>
          <w:b/>
          <w:color w:val="1F3864"/>
          <w:sz w:val="19"/>
        </w:rPr>
        <w:t xml:space="preserve">2024　</w:t>
      </w:r>
      <w:r>
        <w:rPr>
          <w:rFonts w:ascii="Times New Roman" w:hAnsi="Times New Roman" w:eastAsia="宋体" w:cs="Times New Roman"/>
          <w:color w:val="222222"/>
          <w:sz w:val="19"/>
        </w:rPr>
        <w:t>Loper Bright v. Raimondo：推翻 Chevron。</w:t>
      </w:r>
    </w:p>
    <w:p>
      <w:pPr>
        <w:pBdr>
          <w:bottom w:val="single" w:sz="4" w:space="4" w:color="BFBFBF"/>
        </w:pBdr>
        <w:spacing w:before="520" w:after="80"/>
      </w:pPr>
      <w:r>
        <w:rPr>
          <w:rFonts w:ascii="黑体" w:hAnsi="黑体" w:eastAsia="黑体" w:cs="黑体"/>
          <w:b/>
          <w:color w:val="1F3864"/>
          <w:sz w:val="28"/>
        </w:rPr>
        <w:t>阅读指南：怎样读一份美国判决</w:t>
      </w:r>
    </w:p>
    <w:p>
      <w:pPr>
        <w:spacing w:before="120" w:after="80" w:line="336" w:lineRule="auto"/>
        <w:jc w:val="both"/>
      </w:pPr>
      <w:r>
        <w:rPr>
          <w:rFonts w:ascii="黑体" w:hAnsi="黑体" w:eastAsia="黑体" w:cs="黑体"/>
          <w:b/>
          <w:color w:val="1F3864"/>
          <w:sz w:val="18"/>
        </w:rPr>
        <w:t xml:space="preserve">判决的结构　</w:t>
      </w:r>
      <w:r>
        <w:rPr>
          <w:rFonts w:ascii="Times New Roman" w:hAnsi="Times New Roman" w:eastAsia="宋体" w:cs="Times New Roman"/>
          <w:color w:val="222222"/>
          <w:sz w:val="18"/>
        </w:rPr>
        <w:t>一份美国判决通常由“案件摘要”（syllabus，非法院意见）、多数意见（Opinion of the Court）、协同意见（concurring opinion）与异议（dissenting opinion）组成。只有“Opinion of the Court”具有判例效力；协同意见只代表该作者的理由，异议则没有拘束力，但常成为日后改判的思想来源。</w:t>
      </w:r>
    </w:p>
    <w:p>
      <w:pPr>
        <w:spacing w:before="120" w:after="80" w:line="336" w:lineRule="auto"/>
        <w:jc w:val="both"/>
      </w:pPr>
      <w:r>
        <w:rPr>
          <w:rFonts w:ascii="黑体" w:hAnsi="黑体" w:eastAsia="黑体" w:cs="黑体"/>
          <w:b/>
          <w:color w:val="1F3864"/>
          <w:sz w:val="18"/>
        </w:rPr>
        <w:t xml:space="preserve">多数与复数　</w:t>
      </w:r>
      <w:r>
        <w:rPr>
          <w:rFonts w:ascii="Times New Roman" w:hAnsi="Times New Roman" w:eastAsia="宋体" w:cs="Times New Roman"/>
          <w:color w:val="222222"/>
          <w:sz w:val="18"/>
        </w:rPr>
        <w:t>当无法形成五人以上的统一意见时，法院可能出现“复数意见”（plurality opinion），此时具有拘束力的是“在具体结论上最窄的那一份协同意见”（marks 规则），阅读时须特别留意。</w:t>
      </w:r>
    </w:p>
    <w:p>
      <w:pPr>
        <w:spacing w:before="120" w:after="80" w:line="336" w:lineRule="auto"/>
        <w:jc w:val="both"/>
      </w:pPr>
      <w:r>
        <w:rPr>
          <w:rFonts w:ascii="黑体" w:hAnsi="黑体" w:eastAsia="黑体" w:cs="黑体"/>
          <w:b/>
          <w:color w:val="1F3864"/>
          <w:sz w:val="18"/>
        </w:rPr>
        <w:t xml:space="preserve">判决要旨与附带意见　</w:t>
      </w:r>
      <w:r>
        <w:rPr>
          <w:rFonts w:ascii="Times New Roman" w:hAnsi="Times New Roman" w:eastAsia="宋体" w:cs="Times New Roman"/>
          <w:color w:val="222222"/>
          <w:sz w:val="18"/>
        </w:rPr>
        <w:t>“holding”（判决要旨）是解决本案争点所必需的法律结论，具有拘束力；“dictum”（附带意见）是旁论，不具拘束力。区分二者，是判例阅读最核心的技能。</w:t>
      </w:r>
    </w:p>
    <w:p>
      <w:pPr>
        <w:spacing w:before="120" w:after="80" w:line="336" w:lineRule="auto"/>
        <w:jc w:val="both"/>
      </w:pPr>
      <w:r>
        <w:rPr>
          <w:rFonts w:ascii="黑体" w:hAnsi="黑体" w:eastAsia="黑体" w:cs="黑体"/>
          <w:b/>
          <w:color w:val="1F3864"/>
          <w:sz w:val="18"/>
        </w:rPr>
        <w:t xml:space="preserve">先例与推翻　</w:t>
      </w:r>
      <w:r>
        <w:rPr>
          <w:rFonts w:ascii="Times New Roman" w:hAnsi="Times New Roman" w:eastAsia="宋体" w:cs="Times New Roman"/>
          <w:color w:val="222222"/>
          <w:sz w:val="18"/>
        </w:rPr>
        <w:t>法院一般遵循先例（stare decisis），但在宪法领域可以推翻旧判例——Dobbs 推翻 Roe、Loper Bright 推翻Chevron 都是近例。读判决时要看：它援引了哪些先例，又如何处理与之冲突的先例。</w:t>
      </w:r>
    </w:p>
    <w:p>
      <w:pPr>
        <w:spacing w:before="120" w:after="80" w:line="336" w:lineRule="auto"/>
        <w:jc w:val="both"/>
      </w:pPr>
      <w:r>
        <w:rPr>
          <w:rFonts w:ascii="黑体" w:hAnsi="黑体" w:eastAsia="黑体" w:cs="黑体"/>
          <w:b/>
          <w:color w:val="1F3864"/>
          <w:sz w:val="18"/>
        </w:rPr>
        <w:t xml:space="preserve">引证格式　</w:t>
      </w:r>
      <w:r>
        <w:rPr>
          <w:rFonts w:ascii="Times New Roman" w:hAnsi="Times New Roman" w:eastAsia="宋体" w:cs="Times New Roman"/>
          <w:color w:val="222222"/>
          <w:sz w:val="18"/>
        </w:rPr>
        <w:t>“410 U.S. 113 (1973)”读作：报告第 410 卷、第 113 页起，1973 年判决。卷号前的法院缩写（U.S. 为联邦最高法院）与年份，是检索原文最直接的线索。</w:t>
      </w:r>
    </w:p>
    <w:p>
      <w:pPr>
        <w:spacing w:before="120" w:after="80" w:line="336" w:lineRule="auto"/>
        <w:jc w:val="both"/>
      </w:pPr>
      <w:r>
        <w:rPr>
          <w:rFonts w:ascii="黑体" w:hAnsi="黑体" w:eastAsia="黑体" w:cs="黑体"/>
          <w:b/>
          <w:color w:val="1F3864"/>
          <w:sz w:val="18"/>
        </w:rPr>
        <w:t xml:space="preserve">读节选的方法　</w:t>
      </w:r>
      <w:r>
        <w:rPr>
          <w:rFonts w:ascii="Times New Roman" w:hAnsi="Times New Roman" w:eastAsia="宋体" w:cs="Times New Roman"/>
          <w:color w:val="222222"/>
          <w:sz w:val="18"/>
        </w:rPr>
        <w:t>本书每案只摘录裁判理由的关键段落，省略部分以 [...] 标示。建议先读“事实与争点”，再看英文原文，最后对照译文检查自己是否抓住了 holding。</w:t>
      </w:r>
    </w:p>
    <w:p>
      <w:pPr>
        <w:keepNext/>
        <w:spacing w:before="440" w:after="40"/>
      </w:pPr>
      <w:r>
        <w:rPr>
          <w:rFonts w:ascii="黑体" w:hAnsi="黑体" w:eastAsia="黑体" w:cs="黑体"/>
          <w:b/>
          <w:color w:val="1F3864"/>
          <w:sz w:val="26"/>
        </w:rPr>
        <w:t>马伯里诉麦迪逊案</w:t>
      </w:r>
    </w:p>
    <w:p>
      <w:pPr>
        <w:keepNext/>
        <w:spacing w:after="60"/>
      </w:pPr>
      <w:r>
        <w:rPr>
          <w:rFonts w:ascii="Times New Roman" w:hAnsi="Times New Roman" w:eastAsia="宋体" w:cs="Times New Roman"/>
          <w:i/>
          <w:color w:val="595959"/>
          <w:sz w:val="18"/>
        </w:rPr>
        <w:t>Marbury v. Madison</w:t>
      </w:r>
    </w:p>
    <w:p>
      <w:pPr>
        <w:keepNext/>
        <w:spacing w:after="160"/>
      </w:pPr>
      <w:r>
        <w:rPr>
          <w:rFonts w:ascii="Times New Roman" w:hAnsi="Times New Roman" w:eastAsia="宋体" w:cs="Times New Roman"/>
          <w:color w:val="808080"/>
          <w:sz w:val="16"/>
        </w:rPr>
        <w:t>5 U.S. (1 Cranch) 137 · 1803 年 2 月 24 日 · 4–0，马歇尔首席大法官执笔</w:t>
      </w:r>
    </w:p>
    <w:p>
      <w:pPr>
        <w:keepNext/>
        <w:spacing w:after="120" w:line="336" w:lineRule="auto"/>
        <w:jc w:val="both"/>
      </w:pPr>
      <w:r>
        <w:rPr>
          <w:rFonts w:ascii="Times New Roman" w:hAnsi="Times New Roman" w:eastAsia="宋体" w:cs="Times New Roman"/>
          <w:color w:val="222222"/>
          <w:sz w:val="19"/>
        </w:rPr>
        <w:t>1800 年大选后，亚当斯总统在卸任前夕突击任命一批治安法官，马伯里是其中之一；继任的杰斐逊政府指示国务卿麦迪逊扣留委任状。马伯里依 1789 年《司法法》第 13 条直接向最高法院申请执行令。马歇尔法院认定马伯里有权获得委任状，但《司法法》第 13 条授予最高法院初审管辖权的规定与宪法第三条相抵触，因而无效——法院因此无权发出该令。</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It is emphatically the province and duty of the judicial department to say what the law is. Those who apply the rule to particular cases, must of necessity expound and interpret that rule. If two laws conflict with each other, the courts must decide on the operation of each. [...] So if a law be in opposition to the constitution: if both the law and the constitution apply to a particular case, so that the court must either decide that case conformably to the law, disregarding the constitution; or conformably to the constitution, disregarding the law: the court must determine which of these conflicting rules governs the case. This is of the very essence of judicial duty. [...] If then the courts are to regard the constitution; and [t]he constitution is superior to any ordinary act of the legislature; the constitution, and not such ordinary act, must govern the case to which they both apply.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明确宣告法律是什么，乃是司法部门不容置疑的职权与职责。凡将规则适用于具体案件者，必然须对该规则作出阐释与解释。若两项法律相互抵触，法院必须确定各自的效力。[...] 因此，倘若一项法律与宪法相抵触；倘若该法律与宪法均适用于某一具体案件，以致法院必须或者不顾宪法而依该法律裁判该案，或者不顾该法律而依宪法裁判该案，那么法院就必须确定：在这两项相互冲突的规则中，何者支配本案。这正是司法职责的精髓所在。[...] 因此，倘若法院应当以宪法为准，且宪法优越于任何普通立法，则对于二者均予适用的案件，起支配作用的必须是宪法，而非该普通立法。</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这是最高法院第一次宣告国会立法违宪，司法审查由此成为美国宪政的基本结构。马歇尔避开与行政部门的正面冲突，却把“何为法律”的最终判断权握在法院手中。</w:t>
      </w:r>
    </w:p>
    <w:p>
      <w:pPr>
        <w:spacing w:before="40" w:after="40"/>
      </w:pPr>
      <w:r>
        <w:rPr>
          <w:rFonts w:ascii="Times New Roman" w:hAnsi="Times New Roman" w:eastAsia="宋体" w:cs="Times New Roman"/>
          <w:color w:val="808080"/>
          <w:sz w:val="15"/>
        </w:rPr>
        <w:t>来源：https://www.law.cornell.edu/supremecourt/text/5/137</w:t>
      </w:r>
    </w:p>
    <w:p>
      <w:pPr>
        <w:keepNext/>
        <w:spacing w:before="440" w:after="40"/>
      </w:pPr>
      <w:r>
        <w:rPr>
          <w:rFonts w:ascii="黑体" w:hAnsi="黑体" w:eastAsia="黑体" w:cs="黑体"/>
          <w:b/>
          <w:color w:val="1F3864"/>
          <w:sz w:val="26"/>
        </w:rPr>
        <w:t>麦卡洛克诉马里兰州案</w:t>
      </w:r>
    </w:p>
    <w:p>
      <w:pPr>
        <w:keepNext/>
        <w:spacing w:after="60"/>
      </w:pPr>
      <w:r>
        <w:rPr>
          <w:rFonts w:ascii="Times New Roman" w:hAnsi="Times New Roman" w:eastAsia="宋体" w:cs="Times New Roman"/>
          <w:i/>
          <w:color w:val="595959"/>
          <w:sz w:val="18"/>
        </w:rPr>
        <w:t>McCulloch v. Maryland</w:t>
      </w:r>
    </w:p>
    <w:p>
      <w:pPr>
        <w:keepNext/>
        <w:spacing w:after="160"/>
      </w:pPr>
      <w:r>
        <w:rPr>
          <w:rFonts w:ascii="Times New Roman" w:hAnsi="Times New Roman" w:eastAsia="宋体" w:cs="Times New Roman"/>
          <w:color w:val="808080"/>
          <w:sz w:val="16"/>
        </w:rPr>
        <w:t>17 U.S. (4 Wheat.) 316 · 1819 年 3 月 6 日 · 全体一致，马歇尔首席大法官执笔</w:t>
      </w:r>
    </w:p>
    <w:p>
      <w:pPr>
        <w:keepNext/>
        <w:spacing w:after="120" w:line="336" w:lineRule="auto"/>
        <w:jc w:val="both"/>
      </w:pPr>
      <w:r>
        <w:rPr>
          <w:rFonts w:ascii="Times New Roman" w:hAnsi="Times New Roman" w:eastAsia="宋体" w:cs="Times New Roman"/>
          <w:color w:val="222222"/>
          <w:sz w:val="19"/>
        </w:rPr>
        <w:t>国会设立第二合众国银行，马里兰州对其巴尔的摩分行征税，出纳员麦卡洛克拒缴。法院须回答两个问题：宪法是否授权国会设立银行？州能否对联邦机构征税？马歇尔从“必要与适当”条款推出默示权力，并认定州税将危及联邦机构的存续。</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We admit, as all must admit, that the powers of the government are limited, and that its limits are not to be transcended. But we think the sound construction of the constitution must allow to the national legislature that discretion, with respect to the means by which the powers it confers are to be carried into execution, which will enable that body to perform the high duties assigned to it, in the manner most beneficial to the people. Let the end be legitimate, let it be within the scope of the constitution, and all means which are appropriate, which are plainly adapted to that end, which are not prohibited, but consist with the letter and spirit of the constitution, are constitutional. [...] But, waiving this theory for the present, let us resume the inquiry, whether this power can be exercised by the respective states, consistently with a fair construction of the constitution? That the power to tax involves the power to destroy; that the power to destroy may defeat and render useless the power to create; that there is a plain repugnance in conferring on one government a power to control the constitutional measures of another, which other, with respect to those very measures, is declared to be supreme over that which exerts the control, are propositions not to be denied.</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承认，而且人人均须承认：政府权力是有限制的，此种限制不得逾越。但我们认为，对宪法的妥当解释必须允许国家立法机关就执行宪法所授予的权力所采用的手段享有裁量权，以使该机关能够以最有益于人民的方式履行所赋予的重大职责。只要目的正当，只要该目的在宪法范围之内，那么一切适宜于该目的、显然为达成该目的而设、且未被禁止并与宪法的文字和精神相符的手段，均属合宪。[...] 但是，暂且搁置这一理论，让我们回到如下问题：各州行使此项权力，是否符合对宪法的公允解释？征税权包含毁灭权；毁灭权可使创设权归于失败并变得毫无用处；将控制另一政府宪法措施的权力授予某一政府，而该另一政府就这些措施而言又被宣告为优越于行使此种控制者，其间存在明显的抵触——这些命题都是不容否认的。</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判决确立了联邦权力的宽泛解释与联邦至上原则；“征税的权力包含毁灭的权力”一语，成为此后联邦豁免原则的起点。</w:t>
      </w:r>
    </w:p>
    <w:p>
      <w:pPr>
        <w:spacing w:before="40" w:after="40"/>
      </w:pPr>
      <w:r>
        <w:rPr>
          <w:rFonts w:ascii="Times New Roman" w:hAnsi="Times New Roman" w:eastAsia="宋体" w:cs="Times New Roman"/>
          <w:color w:val="808080"/>
          <w:sz w:val="15"/>
        </w:rPr>
        <w:t>来源：https://www.law.cornell.edu/supremecourt/text/17/316</w:t>
      </w:r>
    </w:p>
    <w:p>
      <w:pPr>
        <w:keepNext/>
        <w:spacing w:before="440" w:after="40"/>
      </w:pPr>
      <w:r>
        <w:rPr>
          <w:rFonts w:ascii="黑体" w:hAnsi="黑体" w:eastAsia="黑体" w:cs="黑体"/>
          <w:b/>
          <w:color w:val="1F3864"/>
          <w:sz w:val="26"/>
        </w:rPr>
        <w:t>德雷德·斯科特诉桑福德案</w:t>
      </w:r>
    </w:p>
    <w:p>
      <w:pPr>
        <w:keepNext/>
        <w:spacing w:after="60"/>
      </w:pPr>
      <w:r>
        <w:rPr>
          <w:rFonts w:ascii="Times New Roman" w:hAnsi="Times New Roman" w:eastAsia="宋体" w:cs="Times New Roman"/>
          <w:i/>
          <w:color w:val="595959"/>
          <w:sz w:val="18"/>
        </w:rPr>
        <w:t>Dred Scott v. Sandford</w:t>
      </w:r>
    </w:p>
    <w:p>
      <w:pPr>
        <w:keepNext/>
        <w:spacing w:after="160"/>
      </w:pPr>
      <w:r>
        <w:rPr>
          <w:rFonts w:ascii="Times New Roman" w:hAnsi="Times New Roman" w:eastAsia="宋体" w:cs="Times New Roman"/>
          <w:color w:val="808080"/>
          <w:sz w:val="16"/>
        </w:rPr>
        <w:t>60 U.S. (19 How.) 393 · 1857 年 3 月 6 日 · 7–2，坦尼首席大法官执笔</w:t>
      </w:r>
    </w:p>
    <w:p>
      <w:pPr>
        <w:keepNext/>
        <w:spacing w:after="120" w:line="336" w:lineRule="auto"/>
        <w:jc w:val="both"/>
      </w:pPr>
      <w:r>
        <w:rPr>
          <w:rFonts w:ascii="Times New Roman" w:hAnsi="Times New Roman" w:eastAsia="宋体" w:cs="Times New Roman"/>
          <w:color w:val="222222"/>
          <w:sz w:val="19"/>
        </w:rPr>
        <w:t>斯科特随主人先后在自由州伊利诺伊与自由领地威斯康星居住，返回蓄奴州密苏里后起诉主张自由。法院认为，黑人——无论自由与否——都不是宪法意义上的公民，联邦法院因此无管辖权；并进一步裁定《密苏里妥协》禁止领地蓄奴的规定违宪。</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They had for more than a century before been regarded as beings of an inferior order, and altogether unfit to associate with the white race, either in social or political relations; and so far inferior, that they had no rights which the white man was bound to respect; and that the negro might justly and lawfully be reduced to slavery for his benefit. He was bought and sold, and treated as an ordinary article of merchandise and traffic, whenever a profit could be made by it. This opinion was at that time fixed and universal in the civilized portion of the white race. It was regarded as an axiom in morals as well as in politics, which no one thought of disputing, or supposed to be open to dispute; and men in every grade and position in society daily and habitually acted upon it in their private pursuits, as well as in matters of public concern, without doubting for a moment the correctness of this opinion. [...] We think they are not, and that they are not included, and were not intended to be included, under the word 'citizens' in the Constitution, and can therefore claim none of the rights and privileges which that instrument provides for and secures to citizens of the United States.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在一个多世纪以前，他们一直被视作劣等的人种，完全不适合与白人种族在社会关系或政治关系上交往；而且低劣到如此程度，以致他们不享有白人必须尊重的任何权利，黑人可以为自身的利益被正当地、合法地沦为奴隶。只要能够获利，他们就被买卖，并被当作普通商品与交易物品对待。这种看法当时在白人种族的文明部分中已是确定而普遍的。它被视为道德上和政治上的公理，无人想到去质疑，也无人认为可以质疑；社会上各个等级和地位的人，在日常私人事务以及公共事务中，都每日且习惯性地依此行事，一刻也不怀疑这种看法的正确性。[...] 我们认为他们并不属于此列：他们未被包含、也从未被意图包含在宪法“公民”一词之内，因此不能主张该文件为合众国公民规定并保障的任何权利与特权。</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该判决被普遍视为最高法院最恶名昭彰的判决，加速了南北分裂；1868 年第十四条修正案的公民条款在文本上推翻了它的核心结论。</w:t>
      </w:r>
    </w:p>
    <w:p>
      <w:pPr>
        <w:spacing w:before="40" w:after="40"/>
      </w:pPr>
      <w:r>
        <w:rPr>
          <w:rFonts w:ascii="Times New Roman" w:hAnsi="Times New Roman" w:eastAsia="宋体" w:cs="Times New Roman"/>
          <w:color w:val="808080"/>
          <w:sz w:val="15"/>
        </w:rPr>
        <w:t>来源：https://www.law.cornell.edu/supremecourt/text/60/393</w:t>
      </w:r>
    </w:p>
    <w:p>
      <w:pPr>
        <w:keepNext/>
        <w:spacing w:before="440" w:after="40"/>
      </w:pPr>
      <w:r>
        <w:rPr>
          <w:rFonts w:ascii="黑体" w:hAnsi="黑体" w:eastAsia="黑体" w:cs="黑体"/>
          <w:b/>
          <w:color w:val="1F3864"/>
          <w:sz w:val="26"/>
        </w:rPr>
        <w:t>洛克纳诉纽约州案</w:t>
      </w:r>
    </w:p>
    <w:p>
      <w:pPr>
        <w:keepNext/>
        <w:spacing w:after="60"/>
      </w:pPr>
      <w:r>
        <w:rPr>
          <w:rFonts w:ascii="Times New Roman" w:hAnsi="Times New Roman" w:eastAsia="宋体" w:cs="Times New Roman"/>
          <w:i/>
          <w:color w:val="595959"/>
          <w:sz w:val="18"/>
        </w:rPr>
        <w:t>Lochner v. New York</w:t>
      </w:r>
    </w:p>
    <w:p>
      <w:pPr>
        <w:keepNext/>
        <w:spacing w:after="160"/>
      </w:pPr>
      <w:r>
        <w:rPr>
          <w:rFonts w:ascii="Times New Roman" w:hAnsi="Times New Roman" w:eastAsia="宋体" w:cs="Times New Roman"/>
          <w:color w:val="808080"/>
          <w:sz w:val="16"/>
        </w:rPr>
        <w:t>198 U.S. 45 · 1905 年 4 月 17 日 · 5–4，佩卡姆法官执笔；霍姆斯法官异议</w:t>
      </w:r>
    </w:p>
    <w:p>
      <w:pPr>
        <w:keepNext/>
        <w:spacing w:after="120" w:line="336" w:lineRule="auto"/>
        <w:jc w:val="both"/>
      </w:pPr>
      <w:r>
        <w:rPr>
          <w:rFonts w:ascii="Times New Roman" w:hAnsi="Times New Roman" w:eastAsia="宋体" w:cs="Times New Roman"/>
          <w:color w:val="222222"/>
          <w:sz w:val="19"/>
        </w:rPr>
        <w:t>纽约州法限制面包师每周工作时间，洛克纳因违反该法被处罚。法院认为，该法干涉雇主与雇工之间的契约自由，超出州治安权的合理范围。霍姆斯在异议中写道，宪法并不体现某种特定的经济理论。</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(a) "The statute necessarily interferes with the right of contract between the employer and employees, concerning the number of hours in which the latter may labor in the bakery of the employer. The general right to make a contract in relation to his business is part of the liberty of the individual protected by the Fourteenth Amendment of the Federal Constitution. [...] Under that provision no state can deprive any person of life, liberty, or property without due process of law. The right to purchase or to sell labor is part of the liberty protected by this amendment, unless there are circumstances which exclude the right. [...] Those powers, broadly stated, and without, at present, any attempt at a more specific limitation, relate to the safety, health, morals, and general welfare of the public." [...] (b) "This case is decided upon an economic theory which a large part of the country does not entertain. [...] The liberty of the citizen to do as he likes so long as he does not interfere with the liberty of others to do the same, which has been a shibboleth for some well-known writers, is interfered with by school laws, by the Postoffice, by every state or municipal institution which takes his money for purposes thought desirable, whether he likes it or not. The Fourteenth Amendment does not enact Mr. Herbert Spencer's Social Statics. [...] But a Constitution is not intended to embody a particular economic theory, whether of paternalism and the organic relation of the citizen to the state or of laissez faire. It is made for people of fundamentally differing views, and the accident of our finding certain opinions natural and familiar, or novel, and even shocking, ought not to conclude our judgment upon the question whether statutes embodying them conflict with the Constitution of the United States."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（a）"该法必然干预雇主与雇员之间就后者在雇主的面包房内劳动时数订立合同的权利。就其营业订立合同的一般权利，是第十四修正案所保护的个人自由的一部分。[...] 依据该规定，任何州不得未经正当程序剥夺任何人的生命、自由或财产。购买或出售劳动的权利，属于该修正案所保护的自由，除非存在排除该权利的情形。[...] 这些权力，概括而言，且在目前不作更为具体限定之尝试的情况下，关涉公众的安全、健康、道德与一般福利。" [...]（b）"本案是依一种全国很大一部分人并不赞同的经济理论裁判的。[...] 公民在不干涉他人同等自由的前提下随心行事的自由——这是若干知名作家的一句口号——受到学校法、邮政局以及每一个为其认为可取的目的而收取其钱财的州或市镇机构的干预，无论其是否愿意。第十四修正案并未制定赫伯特·斯宾塞先生的《社会静力学》。[...] 但宪法并不意图体现某种特定的经济理论，无论其是家长主义及公民与国家之间的有机关系，还是自由放任。宪法是为观点根本不同的人们制定的，而我们发觉某些见解自然、熟悉，或者新颖、甚至令人震惊，这一偶然情况，不应成为我们判断体现这些见解的制定法是否与美国宪法相抵触的结论。"</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判决开启以正当程序条款审查经济立法的“洛克纳时代”；1937 年 West Coast Hotel 案转向后，这一路线被放弃，“洛克纳化”自此成为司法越权的代名词。</w:t>
      </w:r>
    </w:p>
    <w:p>
      <w:pPr>
        <w:spacing w:before="40" w:after="40"/>
      </w:pPr>
      <w:r>
        <w:rPr>
          <w:rFonts w:ascii="Times New Roman" w:hAnsi="Times New Roman" w:eastAsia="宋体" w:cs="Times New Roman"/>
          <w:color w:val="808080"/>
          <w:sz w:val="15"/>
        </w:rPr>
        <w:t>来源：https://www.law.cornell.edu/supremecourt/text/198/45</w:t>
      </w:r>
    </w:p>
    <w:p>
      <w:pPr>
        <w:keepNext/>
        <w:spacing w:before="440" w:after="40"/>
      </w:pPr>
      <w:r>
        <w:rPr>
          <w:rFonts w:ascii="黑体" w:hAnsi="黑体" w:eastAsia="黑体" w:cs="黑体"/>
          <w:b/>
          <w:color w:val="1F3864"/>
          <w:sz w:val="26"/>
        </w:rPr>
        <w:t>申克诉合众国案</w:t>
      </w:r>
    </w:p>
    <w:p>
      <w:pPr>
        <w:keepNext/>
        <w:spacing w:after="60"/>
      </w:pPr>
      <w:r>
        <w:rPr>
          <w:rFonts w:ascii="Times New Roman" w:hAnsi="Times New Roman" w:eastAsia="宋体" w:cs="Times New Roman"/>
          <w:i/>
          <w:color w:val="595959"/>
          <w:sz w:val="18"/>
        </w:rPr>
        <w:t>Schenck v. United States</w:t>
      </w:r>
    </w:p>
    <w:p>
      <w:pPr>
        <w:keepNext/>
        <w:spacing w:after="160"/>
      </w:pPr>
      <w:r>
        <w:rPr>
          <w:rFonts w:ascii="Times New Roman" w:hAnsi="Times New Roman" w:eastAsia="宋体" w:cs="Times New Roman"/>
          <w:color w:val="808080"/>
          <w:sz w:val="16"/>
        </w:rPr>
        <w:t>249 U.S. 47 · 1919 年 3 月 3 日 · 9–0，霍姆斯法官执笔</w:t>
      </w:r>
    </w:p>
    <w:p>
      <w:pPr>
        <w:keepNext/>
        <w:spacing w:after="120" w:line="336" w:lineRule="auto"/>
        <w:jc w:val="both"/>
      </w:pPr>
      <w:r>
        <w:rPr>
          <w:rFonts w:ascii="Times New Roman" w:hAnsi="Times New Roman" w:eastAsia="宋体" w:cs="Times New Roman"/>
          <w:color w:val="222222"/>
          <w:sz w:val="19"/>
        </w:rPr>
        <w:t>一战期间，社会党人散发传单呼吁抵制征兵，被依《间谍法》定罪。霍姆斯认为，言论是否受保护取决于其发表的环境与可能后果：在剧院谎报火警不受保护，战时呼吁抵制征兵亦然。</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"But the character of every act depends upon the circumstances in which it is done. [...] The most stringent protection of free speech would not protect a man in falsely shouting fire in a theatre and causing a panic. It does not even protect a man from an injunction against uttering words that may have all the effect of force. [...] The question in every case is whether the words used are used in such circumstances and are of such a nature as to create a clear and present danger that they will bring about the substantive evils that Congress has a right to prevent. It is a question of proximity and degree. When a nation is at war many things that might be said in time of peace are such a hindrance to its effort that their utterance will not be endured so long as men fight and that no Court could regard them as protected by any constitutional right."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"但每一行为的性质，取决于其作出的具体情境。[...] 对言论自由最严格的保护，也不会保护一个人在一座剧院里谎呼失火并引起恐慌。它甚至不保护一个人免受禁止其发表可能具有全部强制效果的言词的禁令。[...] 每一案件中的问题在于：所使用的言词是否被用于这样的情境，且其性质是否足以造成明显而即刻的危险，即产生国会有权防止的实质性危害。这是一个接近程度与程度轻重的问题。当国家处于战争状态时，许多在和平时期可以讲的话，会成为对其努力的妨碍，以致只要人们在作战，此类言论就不会被容忍，任何法院也不能将其视为受宪法权利的保护。"</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判决提出“明显而即刻的危险”标准，为此后半个世纪的言论法划定框架；1969 年 Brandenburg 案将其收紧为“即将发生的违法行为”。</w:t>
      </w:r>
    </w:p>
    <w:p>
      <w:pPr>
        <w:spacing w:before="40" w:after="40"/>
      </w:pPr>
      <w:r>
        <w:rPr>
          <w:rFonts w:ascii="Times New Roman" w:hAnsi="Times New Roman" w:eastAsia="宋体" w:cs="Times New Roman"/>
          <w:color w:val="808080"/>
          <w:sz w:val="15"/>
        </w:rPr>
        <w:t>来源：https://www.law.cornell.edu/supremecourt/text/249/47</w:t>
      </w:r>
    </w:p>
    <w:p>
      <w:pPr>
        <w:keepNext/>
        <w:spacing w:before="440" w:after="40"/>
      </w:pPr>
      <w:r>
        <w:rPr>
          <w:rFonts w:ascii="黑体" w:hAnsi="黑体" w:eastAsia="黑体" w:cs="黑体"/>
          <w:b/>
          <w:color w:val="1F3864"/>
          <w:sz w:val="26"/>
        </w:rPr>
        <w:t>是松诉合众国案</w:t>
      </w:r>
    </w:p>
    <w:p>
      <w:pPr>
        <w:keepNext/>
        <w:spacing w:after="60"/>
      </w:pPr>
      <w:r>
        <w:rPr>
          <w:rFonts w:ascii="Times New Roman" w:hAnsi="Times New Roman" w:eastAsia="宋体" w:cs="Times New Roman"/>
          <w:i/>
          <w:color w:val="595959"/>
          <w:sz w:val="18"/>
        </w:rPr>
        <w:t>Korematsu v. United States</w:t>
      </w:r>
    </w:p>
    <w:p>
      <w:pPr>
        <w:keepNext/>
        <w:spacing w:after="160"/>
      </w:pPr>
      <w:r>
        <w:rPr>
          <w:rFonts w:ascii="Times New Roman" w:hAnsi="Times New Roman" w:eastAsia="宋体" w:cs="Times New Roman"/>
          <w:color w:val="808080"/>
          <w:sz w:val="16"/>
        </w:rPr>
        <w:t>323 U.S. 214 · 1944 年 12 月 18 日 · 6–3，布莱克法官执笔；杰克逊、墨菲、罗伯茨法官异议</w:t>
      </w:r>
    </w:p>
    <w:p>
      <w:pPr>
        <w:keepNext/>
        <w:spacing w:after="120" w:line="336" w:lineRule="auto"/>
        <w:jc w:val="both"/>
      </w:pPr>
      <w:r>
        <w:rPr>
          <w:rFonts w:ascii="Times New Roman" w:hAnsi="Times New Roman" w:eastAsia="宋体" w:cs="Times New Roman"/>
          <w:color w:val="222222"/>
          <w:sz w:val="19"/>
        </w:rPr>
        <w:t>二战期间，罗斯福行政命令与国会立法授权军方将西海岸日裔居民迁入拘留营。是松拒绝报到而被捕，主张该命令基于种族分类，违反宪法。法院以“紧迫的公共需要”为由维持了排除措施。</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(a) "It should be noted, to begin with, that all legal restrictions which curtail the civil rights of a single racial group are immediately suspect. That is not to say that all such restrictions are unconstitutional. It is to say that courts must subject them to the most rigid scrutiny. Pressing public necessity may sometimes justify the existence of such restrictions; racial antagonism never can." (b) "The judgment that exclusion of the whole group was for the same reason a military imperative answers the contention that the exclusion was in the nature of group punishment based on antagonism to those of Japanese origin."</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首先应当指出，凡削减单一族群公民权利的一切法律限制，均立即成为可疑的。这并不是说所有此类限制都违宪。而是说，法院必须对其适用最为严格的审查。迫切的公共需要有时可以成为此类限制存在的正当理由；种族对抗则永远不能。"（b）"关于将整个群体排除在外同样出于这一理由而属军事上必要之判断，回应了如下主张：该排除具有基于对日裔之敌视的群体惩罚性质。"</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该案长期被视为司法顺从的教训；1980 年代国会通过赔偿立法，2018 年 Trump v. Hawaii 案中最高法院明确称其“严重错误”。</w:t>
      </w:r>
    </w:p>
    <w:p>
      <w:pPr>
        <w:spacing w:before="40" w:after="40"/>
      </w:pPr>
      <w:r>
        <w:rPr>
          <w:rFonts w:ascii="Times New Roman" w:hAnsi="Times New Roman" w:eastAsia="宋体" w:cs="Times New Roman"/>
          <w:color w:val="808080"/>
          <w:sz w:val="15"/>
        </w:rPr>
        <w:t>来源：https://www.law.cornell.edu/supremecourt/text/323/214</w:t>
      </w:r>
    </w:p>
    <w:p>
      <w:pPr>
        <w:keepNext/>
        <w:spacing w:before="440" w:after="40"/>
      </w:pPr>
      <w:r>
        <w:rPr>
          <w:rFonts w:ascii="黑体" w:hAnsi="黑体" w:eastAsia="黑体" w:cs="黑体"/>
          <w:b/>
          <w:color w:val="1F3864"/>
          <w:sz w:val="26"/>
        </w:rPr>
        <w:t>扬斯敦板材与钢管公司诉索耶案</w:t>
      </w:r>
    </w:p>
    <w:p>
      <w:pPr>
        <w:keepNext/>
        <w:spacing w:after="60"/>
      </w:pPr>
      <w:r>
        <w:rPr>
          <w:rFonts w:ascii="Times New Roman" w:hAnsi="Times New Roman" w:eastAsia="宋体" w:cs="Times New Roman"/>
          <w:i/>
          <w:color w:val="595959"/>
          <w:sz w:val="18"/>
        </w:rPr>
        <w:t>Youngstown Sheet &amp; Tube Co. v. Sawyer</w:t>
      </w:r>
    </w:p>
    <w:p>
      <w:pPr>
        <w:keepNext/>
        <w:spacing w:after="160"/>
      </w:pPr>
      <w:r>
        <w:rPr>
          <w:rFonts w:ascii="Times New Roman" w:hAnsi="Times New Roman" w:eastAsia="宋体" w:cs="Times New Roman"/>
          <w:color w:val="808080"/>
          <w:sz w:val="16"/>
        </w:rPr>
        <w:t>343 U.S. 579 · 1952 年 6 月 2 日 · 6–3，布莱克法官执笔；杰克逊法官协同意见</w:t>
      </w:r>
    </w:p>
    <w:p>
      <w:pPr>
        <w:keepNext/>
        <w:spacing w:after="120" w:line="336" w:lineRule="auto"/>
        <w:jc w:val="both"/>
      </w:pPr>
      <w:r>
        <w:rPr>
          <w:rFonts w:ascii="Times New Roman" w:hAnsi="Times New Roman" w:eastAsia="宋体" w:cs="Times New Roman"/>
          <w:color w:val="222222"/>
          <w:sz w:val="19"/>
        </w:rPr>
        <w:t>朝鲜战争期间钢铁工人罢工，杜鲁门总统下令接管钢厂，主张依总统固有权力行事。法院认为，总统未经国会授权，不得以行政命令代替立法；杰克逊的协同意见进一步区分总统权力的三个层次。</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[Jackson, J., concurring in the judgment and opinion of the court] 3. When the President takes measures incompatible with the expressed or implied will of Congress, his power is at its lowest ebb, for then he can rely only upon his own constitutional powers minus any constitutional powers of Congress over the matter. Courts can sustain exclusive Presidential control in such a case only by disabling the Congress from acting upon the subject. Presidential claim to a power at once so conclusive and preclusive must be scrutinized with caution, for what is at stake is the equilibrium established by our constitutional system. [Opinion of the Court, delivered by Black, J.] In the framework of our Constitution, the President's power to see that the laws are faithfully executed refutes the idea that he is to be a lawmaker.</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【杰克逊法官（Jackson, J.）协同意见】3. 当总统采取与国会明示或默示意志不相容的措施时，其权力处于最低谷，因为此时他只能仰赖其自身的宪法权力，并须减去国会对该事项所享有的任何宪法权力。在此种情形下，法院唯有使国会无从就该事项采取行动，方能维持总统的排他性控制。对于如此具有终局性与排他性的权力主张，必须审慎加以审查，因为此处所关涉者，正是我国宪法体制所确立的权力平衡。 【法院意见（布莱克法官执笔）】在我国宪法的框架内，总统负有使法律得到忠实执行之责，而这一权力本身即否定了总统可以充当立法者的观念。</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杰克逊的三层框架成为判断总统权力边界的通用工具，被此后几乎所有涉及行政权与国会关系的判决引用。</w:t>
      </w:r>
    </w:p>
    <w:p>
      <w:pPr>
        <w:spacing w:before="40" w:after="40"/>
      </w:pPr>
      <w:r>
        <w:rPr>
          <w:rFonts w:ascii="Times New Roman" w:hAnsi="Times New Roman" w:eastAsia="宋体" w:cs="Times New Roman"/>
          <w:color w:val="808080"/>
          <w:sz w:val="15"/>
        </w:rPr>
        <w:t>来源：https://www.law.cornell.edu/supremecourt/text/343/579</w:t>
      </w:r>
    </w:p>
    <w:p>
      <w:pPr>
        <w:keepNext/>
        <w:spacing w:before="440" w:after="40"/>
      </w:pPr>
      <w:r>
        <w:rPr>
          <w:rFonts w:ascii="黑体" w:hAnsi="黑体" w:eastAsia="黑体" w:cs="黑体"/>
          <w:b/>
          <w:color w:val="1F3864"/>
          <w:sz w:val="26"/>
        </w:rPr>
        <w:t>马普诉俄亥俄州案</w:t>
      </w:r>
    </w:p>
    <w:p>
      <w:pPr>
        <w:keepNext/>
        <w:spacing w:after="60"/>
      </w:pPr>
      <w:r>
        <w:rPr>
          <w:rFonts w:ascii="Times New Roman" w:hAnsi="Times New Roman" w:eastAsia="宋体" w:cs="Times New Roman"/>
          <w:i/>
          <w:color w:val="595959"/>
          <w:sz w:val="18"/>
        </w:rPr>
        <w:t>Mapp v. Ohio</w:t>
      </w:r>
    </w:p>
    <w:p>
      <w:pPr>
        <w:keepNext/>
        <w:spacing w:after="160"/>
      </w:pPr>
      <w:r>
        <w:rPr>
          <w:rFonts w:ascii="Times New Roman" w:hAnsi="Times New Roman" w:eastAsia="宋体" w:cs="Times New Roman"/>
          <w:color w:val="808080"/>
          <w:sz w:val="16"/>
        </w:rPr>
        <w:t>367 U.S. 643 · 1961 年 6 月 19 日 · 6–3，克拉克法官执笔</w:t>
      </w:r>
    </w:p>
    <w:p>
      <w:pPr>
        <w:keepNext/>
        <w:spacing w:after="120" w:line="336" w:lineRule="auto"/>
        <w:jc w:val="both"/>
      </w:pPr>
      <w:r>
        <w:rPr>
          <w:rFonts w:ascii="Times New Roman" w:hAnsi="Times New Roman" w:eastAsia="宋体" w:cs="Times New Roman"/>
          <w:color w:val="222222"/>
          <w:sz w:val="19"/>
        </w:rPr>
        <w:t>警察无搜查令强行进入马普住宅搜查，发现违禁品，马普因此被定罪。法院认为，以违宪方式取得的证据在州法院同样不得采纳，否则第四修正案形同虚设。</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Today we once again examine Wolf's constitutional documentation of the right to privacy free from unreasonable state intrusion, and, after its dozen years on our books, are led by it to close the only courtroom door remaining open to evidence secured by official lawlessness in flagrant abuse of that basic right, reserved to all persons as a specific guarantee against that very same unlawful conduct. We hold that all evidence obtained by searches and seizures in violation of the Constitution is, by that same authority, inadmissible in a state court.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今天，我们再次审视 Wolf 案就隐私权免受州的无理侵入所作出的宪法论证；在该案确立十二年之后，我们依循这一论证，关闭了最后一扇仍然向以下证据敞开的法庭之门，即通过官方违法行为取得的证据，而此种违法是对该项基本权利的悍然践踏，该项权利乃是为一切人保留的、针对同一非法行为的具体保障。我们裁定：凡以违反宪法的方式通过搜查和扣押所取得的证据，依据同一权威，在州法院亦不可采纳。</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判决把非法证据排除规则适用于各州，成为第四修正案最主要的执行机制；其范围与例外此后不断被争论与限缩。</w:t>
      </w:r>
    </w:p>
    <w:p>
      <w:pPr>
        <w:spacing w:before="40" w:after="40"/>
      </w:pPr>
      <w:r>
        <w:rPr>
          <w:rFonts w:ascii="Times New Roman" w:hAnsi="Times New Roman" w:eastAsia="宋体" w:cs="Times New Roman"/>
          <w:color w:val="808080"/>
          <w:sz w:val="15"/>
        </w:rPr>
        <w:t>来源：https://www.law.cornell.edu/supremecourt/text/367/643</w:t>
      </w:r>
    </w:p>
    <w:p>
      <w:pPr>
        <w:keepNext/>
        <w:spacing w:before="440" w:after="40"/>
      </w:pPr>
      <w:r>
        <w:rPr>
          <w:rFonts w:ascii="黑体" w:hAnsi="黑体" w:eastAsia="黑体" w:cs="黑体"/>
          <w:b/>
          <w:color w:val="1F3864"/>
          <w:sz w:val="26"/>
        </w:rPr>
        <w:t>吉迪恩诉温赖特案</w:t>
      </w:r>
    </w:p>
    <w:p>
      <w:pPr>
        <w:keepNext/>
        <w:spacing w:after="60"/>
      </w:pPr>
      <w:r>
        <w:rPr>
          <w:rFonts w:ascii="Times New Roman" w:hAnsi="Times New Roman" w:eastAsia="宋体" w:cs="Times New Roman"/>
          <w:i/>
          <w:color w:val="595959"/>
          <w:sz w:val="18"/>
        </w:rPr>
        <w:t>Gideon v. Wainwright</w:t>
      </w:r>
    </w:p>
    <w:p>
      <w:pPr>
        <w:keepNext/>
        <w:spacing w:after="160"/>
      </w:pPr>
      <w:r>
        <w:rPr>
          <w:rFonts w:ascii="Times New Roman" w:hAnsi="Times New Roman" w:eastAsia="宋体" w:cs="Times New Roman"/>
          <w:color w:val="808080"/>
          <w:sz w:val="16"/>
        </w:rPr>
        <w:t>372 U.S. 335 · 1963 年 3 月 18 日 · 9–0，布莱克法官执笔</w:t>
      </w:r>
    </w:p>
    <w:p>
      <w:pPr>
        <w:keepNext/>
        <w:spacing w:after="120" w:line="336" w:lineRule="auto"/>
        <w:jc w:val="both"/>
      </w:pPr>
      <w:r>
        <w:rPr>
          <w:rFonts w:ascii="Times New Roman" w:hAnsi="Times New Roman" w:eastAsia="宋体" w:cs="Times New Roman"/>
          <w:color w:val="222222"/>
          <w:sz w:val="19"/>
        </w:rPr>
        <w:t>吉迪恩被控入室盗窃，无力聘请律师，请求法院指定辩护遭拒，自行辩护后被判有罪。他在狱中手写申诉，主张贫困被告同样享有获得律师帮助的权利。法院一致同意，对抗制下的公正审判以律师协助为前提。</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Not only these precedents but also reason and reflection require us to recognize that in our adversary system of criminal justice, any person haled into court, who is too poor to hire a lawyer, cannot be assured a fair trial unless counsel is provided for him. This seems to us to be an obvious truth. Governments, both state and federal, quite properly spend vast sums of money to establish machinery to try defendants accused of crime. Lawyers to prosecute are everywhere deemed essential to protect the public's interest in an orderly society. Similarly, there are few defendants charged with crime, few indeed, who fail to hire the best lawyers they can get to prepare and present their defenses. That government hires lawyers to prosecute and defendants who have the money hire lawyers to defend are the strongest indications of the wide-spread belief that lawyers in criminal courts are necessities, not luxuries. The right of one charged with crime to counsel may not be deemed fundamental and essential to fair trials in some countries, but it is in ours. From the very beginning, our state and national constitutions and laws have laid great emphasis on procedural and substantive safeguards designed to assure fair trials before impartial tribunals in which every defendant stands equal before the law. This noble ideal cannot be realized if the poor man charged with crime has to face his accusers without a lawyer to assist him.</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不仅这些先例，而且理性与反思，均要求我们承认：在我们的对抗制刑事司法制度中，任何被传唤到庭的人，若因过于贫穷而无力聘请律师，除非为其提供律师，否则不能获得公正审判的保障。在我们看来，这是一项显而易见的真理。各级政府，无论州或联邦，都为建立审判被控犯罪人的机制而正当地支出巨额款项。负责公诉的律师在任何地方都被视为维护有序社会公共利益所不可或缺。同样，被控犯罪而未能聘请所能聘到的最佳律师为其准备和进行辩护的被告人，为数寥寥，实属罕见。政府聘请律师提起公诉，有钱的被告人聘请律师进行辩护，这最有力地表明了一种广泛持有的信念：在刑事法庭上，律师是必需品，而非奢侈品。被控犯罪者获得律师的权利，在某些国家或许不被视为公正审判所必需的基本权利，但在我国则确是如此。自始以来，我国的州宪法、国家宪法和法律都极为重视程序与实体上的保障，以确保每一被告人在法律面前人人平等的公正法庭上获得公正审判。倘若被控犯罪的穷人不得不在没有律师协助的情况下面对指控者，这一崇高理想便无从实现。</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判决把第六修正案的律师权适用于各州重罪案件，此后扩及可能判处监禁的轻罪，并催生了公共辩护制度。</w:t>
      </w:r>
    </w:p>
    <w:p>
      <w:pPr>
        <w:spacing w:before="40" w:after="40"/>
      </w:pPr>
      <w:r>
        <w:rPr>
          <w:rFonts w:ascii="Times New Roman" w:hAnsi="Times New Roman" w:eastAsia="宋体" w:cs="Times New Roman"/>
          <w:color w:val="808080"/>
          <w:sz w:val="15"/>
        </w:rPr>
        <w:t>来源：https://www.law.cornell.edu/supremecourt/text/372/335</w:t>
      </w:r>
    </w:p>
    <w:p>
      <w:pPr>
        <w:keepNext/>
        <w:spacing w:before="440" w:after="40"/>
      </w:pPr>
      <w:r>
        <w:rPr>
          <w:rFonts w:ascii="黑体" w:hAnsi="黑体" w:eastAsia="黑体" w:cs="黑体"/>
          <w:b/>
          <w:color w:val="1F3864"/>
          <w:sz w:val="26"/>
        </w:rPr>
        <w:t>《纽约时报》诉沙利文案</w:t>
      </w:r>
    </w:p>
    <w:p>
      <w:pPr>
        <w:keepNext/>
        <w:spacing w:after="60"/>
      </w:pPr>
      <w:r>
        <w:rPr>
          <w:rFonts w:ascii="Times New Roman" w:hAnsi="Times New Roman" w:eastAsia="宋体" w:cs="Times New Roman"/>
          <w:i/>
          <w:color w:val="595959"/>
          <w:sz w:val="18"/>
        </w:rPr>
        <w:t>New York Times Co. v. Sullivan</w:t>
      </w:r>
    </w:p>
    <w:p>
      <w:pPr>
        <w:keepNext/>
        <w:spacing w:after="160"/>
      </w:pPr>
      <w:r>
        <w:rPr>
          <w:rFonts w:ascii="Times New Roman" w:hAnsi="Times New Roman" w:eastAsia="宋体" w:cs="Times New Roman"/>
          <w:color w:val="808080"/>
          <w:sz w:val="16"/>
        </w:rPr>
        <w:t>376 U.S. 254 · 1964 年 3 月 9 日 · 9–0，布伦南法官执笔</w:t>
      </w:r>
    </w:p>
    <w:p>
      <w:pPr>
        <w:keepNext/>
        <w:spacing w:after="120" w:line="336" w:lineRule="auto"/>
        <w:jc w:val="both"/>
      </w:pPr>
      <w:r>
        <w:rPr>
          <w:rFonts w:ascii="Times New Roman" w:hAnsi="Times New Roman" w:eastAsia="宋体" w:cs="Times New Roman"/>
          <w:color w:val="222222"/>
          <w:sz w:val="19"/>
        </w:rPr>
        <w:t>民权运动期间，《纽约时报》刊登声援马丁·路德·金的广告，蒙哥马利市专员沙利文以广告含不实内容为由提起诽谤诉讼，州法院判其胜诉。最高法院认为，对公共官员公务行为的批评受宪法保护，除非陈述出于“实际恶意”。</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The constitutional guarantees require, we think, a federal rule that prohibits a public official from recovering damages for a defamatory falsehood relating to his official conduct unless he proves that the statement was made with "actual malice"—that is, with knowledge that it was false or with reckless disregard of whether it was false or not.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我们认为，宪法保障要求确立一项联邦规则：凡涉公职官员公务行为的诽谤性不实陈述，除非该官员证明有关陈述系出于“实际恶意”——即明知陈述虚假，或罔顾其真伪——否则不得就该陈述获得损害赔偿。</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判决确立了公共官员诽谤案的“实际恶意”标准，大幅扩展了对公共事务的批评空间，被视为美国新闻自由的宪法基石。</w:t>
      </w:r>
    </w:p>
    <w:p>
      <w:pPr>
        <w:spacing w:before="40" w:after="40"/>
      </w:pPr>
      <w:r>
        <w:rPr>
          <w:rFonts w:ascii="Times New Roman" w:hAnsi="Times New Roman" w:eastAsia="宋体" w:cs="Times New Roman"/>
          <w:color w:val="808080"/>
          <w:sz w:val="15"/>
        </w:rPr>
        <w:t>来源：https://www.law.cornell.edu/supremecourt/text/376/254</w:t>
      </w:r>
    </w:p>
    <w:p>
      <w:pPr>
        <w:keepNext/>
        <w:spacing w:before="440" w:after="40"/>
      </w:pPr>
      <w:r>
        <w:rPr>
          <w:rFonts w:ascii="黑体" w:hAnsi="黑体" w:eastAsia="黑体" w:cs="黑体"/>
          <w:b/>
          <w:color w:val="1F3864"/>
          <w:sz w:val="26"/>
        </w:rPr>
        <w:t>米兰达诉亚利桑那州案</w:t>
      </w:r>
    </w:p>
    <w:p>
      <w:pPr>
        <w:keepNext/>
        <w:spacing w:after="60"/>
      </w:pPr>
      <w:r>
        <w:rPr>
          <w:rFonts w:ascii="Times New Roman" w:hAnsi="Times New Roman" w:eastAsia="宋体" w:cs="Times New Roman"/>
          <w:i/>
          <w:color w:val="595959"/>
          <w:sz w:val="18"/>
        </w:rPr>
        <w:t>Miranda v. Arizona</w:t>
      </w:r>
    </w:p>
    <w:p>
      <w:pPr>
        <w:keepNext/>
        <w:spacing w:after="160"/>
      </w:pPr>
      <w:r>
        <w:rPr>
          <w:rFonts w:ascii="Times New Roman" w:hAnsi="Times New Roman" w:eastAsia="宋体" w:cs="Times New Roman"/>
          <w:color w:val="808080"/>
          <w:sz w:val="16"/>
        </w:rPr>
        <w:t>384 U.S. 436 · 1966 年 6 月 13 日 · 5–4，沃伦首席大法官执笔</w:t>
      </w:r>
    </w:p>
    <w:p>
      <w:pPr>
        <w:keepNext/>
        <w:spacing w:after="120" w:line="336" w:lineRule="auto"/>
        <w:jc w:val="both"/>
      </w:pPr>
      <w:r>
        <w:rPr>
          <w:rFonts w:ascii="Times New Roman" w:hAnsi="Times New Roman" w:eastAsia="宋体" w:cs="Times New Roman"/>
          <w:color w:val="222222"/>
          <w:sz w:val="19"/>
        </w:rPr>
        <w:t>米兰达被警方羁押讯问后供认绑架与强奸，讯问前未被告知有权保持沉默、有权获得律师帮助。法院认为，羁押环境本身具有压迫性，除非采取程序性保障，供述不得作为证据。</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He must be warned prior to any questioning that he has the right to remain silent, that anything he says can be used against him in a court of law, that he has the right to the presence of an attorney, and that if he cannot afford an attorney one will be appointed for him prior to any questioning if he so desires.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他必须在任何讯问进行之前被告知：他有权保持沉默；他所说的一切均可在法庭上用作对其不利的证据；他有权要求律师在场；并且，如果他无力聘请律师，只要他愿意，即可在讯问开始前为其指定一名律师。</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判决确立了“米兰达警告”，成为警察羁押讯问的标准程序；其后的判例在紧急情况、公共安全等方向上作出例外。</w:t>
      </w:r>
    </w:p>
    <w:p>
      <w:pPr>
        <w:spacing w:before="40" w:after="40"/>
      </w:pPr>
      <w:r>
        <w:rPr>
          <w:rFonts w:ascii="Times New Roman" w:hAnsi="Times New Roman" w:eastAsia="宋体" w:cs="Times New Roman"/>
          <w:color w:val="808080"/>
          <w:sz w:val="15"/>
        </w:rPr>
        <w:t>来源：https://www.law.cornell.edu/supremecourt/text/384/436</w:t>
      </w:r>
    </w:p>
    <w:p>
      <w:pPr>
        <w:keepNext/>
        <w:spacing w:before="440" w:after="40"/>
      </w:pPr>
      <w:r>
        <w:rPr>
          <w:rFonts w:ascii="黑体" w:hAnsi="黑体" w:eastAsia="黑体" w:cs="黑体"/>
          <w:b/>
          <w:color w:val="1F3864"/>
          <w:sz w:val="26"/>
        </w:rPr>
        <w:t>罗伊诉韦德案</w:t>
      </w:r>
    </w:p>
    <w:p>
      <w:pPr>
        <w:keepNext/>
        <w:spacing w:after="60"/>
      </w:pPr>
      <w:r>
        <w:rPr>
          <w:rFonts w:ascii="Times New Roman" w:hAnsi="Times New Roman" w:eastAsia="宋体" w:cs="Times New Roman"/>
          <w:i/>
          <w:color w:val="595959"/>
          <w:sz w:val="18"/>
        </w:rPr>
        <w:t>Roe v. Wade</w:t>
      </w:r>
    </w:p>
    <w:p>
      <w:pPr>
        <w:keepNext/>
        <w:spacing w:after="160"/>
      </w:pPr>
      <w:r>
        <w:rPr>
          <w:rFonts w:ascii="Times New Roman" w:hAnsi="Times New Roman" w:eastAsia="宋体" w:cs="Times New Roman"/>
          <w:color w:val="808080"/>
          <w:sz w:val="16"/>
        </w:rPr>
        <w:t>410 U.S. 113 · 1973 年 1 月 22 日 · 7–2，布莱克门法官执笔</w:t>
      </w:r>
    </w:p>
    <w:p>
      <w:pPr>
        <w:keepNext/>
        <w:spacing w:after="120" w:line="336" w:lineRule="auto"/>
        <w:jc w:val="both"/>
      </w:pPr>
      <w:r>
        <w:rPr>
          <w:rFonts w:ascii="Times New Roman" w:hAnsi="Times New Roman" w:eastAsia="宋体" w:cs="Times New Roman"/>
          <w:color w:val="222222"/>
          <w:sz w:val="19"/>
        </w:rPr>
        <w:t>化名“罗伊”的得克萨斯州孕妇挑战该州除挽救母亲生命外一律禁止堕胎的法律。法院认为，宪法第十四修正案的个人自由包含隐私领域，足以涵盖女性是否终止妊娠的决定，并按孕期三阶段划定州可以介入的程度。</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This right of privacy, whether it be founded in the Fourteenth Amendment's concept of personal liberty and restrictions upon state action, as we feel it is, or, as the District Court determined, in the Ninth Amendment's reservation of rights to the people, is broad enough to encompass a woman's decision whether or not to terminate her pregnancy.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这一隐私权，无论如我们所认为的那样植根于第十四修正案关于个人自由及对州行为之限制的理念，还是如地区法院所认定的那样植根于第九修正案对为人民保留权利的规定，其范围均足以涵盖妇女就是否终止妊娠所作的决定。</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判决使全国范围内的堕胎限制失效，成为此后半个世纪美国政治与司法争论的中心；2022 年被 Dobbs 案推翻。</w:t>
      </w:r>
    </w:p>
    <w:p>
      <w:pPr>
        <w:spacing w:before="40" w:after="40"/>
      </w:pPr>
      <w:r>
        <w:rPr>
          <w:rFonts w:ascii="Times New Roman" w:hAnsi="Times New Roman" w:eastAsia="宋体" w:cs="Times New Roman"/>
          <w:color w:val="808080"/>
          <w:sz w:val="15"/>
        </w:rPr>
        <w:t>来源：https://www.law.cornell.edu/supremecourt/text/410/113</w:t>
      </w:r>
    </w:p>
    <w:p>
      <w:pPr>
        <w:keepNext/>
        <w:spacing w:before="440" w:after="40"/>
      </w:pPr>
      <w:r>
        <w:rPr>
          <w:rFonts w:ascii="黑体" w:hAnsi="黑体" w:eastAsia="黑体" w:cs="黑体"/>
          <w:b/>
          <w:color w:val="1F3864"/>
          <w:sz w:val="26"/>
        </w:rPr>
        <w:t>合众国诉尼克松案</w:t>
      </w:r>
    </w:p>
    <w:p>
      <w:pPr>
        <w:keepNext/>
        <w:spacing w:after="60"/>
      </w:pPr>
      <w:r>
        <w:rPr>
          <w:rFonts w:ascii="Times New Roman" w:hAnsi="Times New Roman" w:eastAsia="宋体" w:cs="Times New Roman"/>
          <w:i/>
          <w:color w:val="595959"/>
          <w:sz w:val="18"/>
        </w:rPr>
        <w:t>United States v. Nixon</w:t>
      </w:r>
    </w:p>
    <w:p>
      <w:pPr>
        <w:keepNext/>
        <w:spacing w:after="160"/>
      </w:pPr>
      <w:r>
        <w:rPr>
          <w:rFonts w:ascii="Times New Roman" w:hAnsi="Times New Roman" w:eastAsia="宋体" w:cs="Times New Roman"/>
          <w:color w:val="808080"/>
          <w:sz w:val="16"/>
        </w:rPr>
        <w:t>418 U.S. 683 · 1974 年 7 月 24 日 · 8–0，伯格首席大法官执笔（伦奎斯特法官未参与）</w:t>
      </w:r>
    </w:p>
    <w:p>
      <w:pPr>
        <w:keepNext/>
        <w:spacing w:after="120" w:line="336" w:lineRule="auto"/>
        <w:jc w:val="both"/>
      </w:pPr>
      <w:r>
        <w:rPr>
          <w:rFonts w:ascii="Times New Roman" w:hAnsi="Times New Roman" w:eastAsia="宋体" w:cs="Times New Roman"/>
          <w:color w:val="222222"/>
          <w:sz w:val="19"/>
        </w:rPr>
        <w:t>水门事件特别检察官要求尼克松交出白宫录音带，总统主张行政特权，拒绝提交。法院认为，行政特权并非绝对，在刑事案件中，具体的证据需要可以压倒概括的特权主张。</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However, neither the doctrine of separation of powers, nor the need for confidentiality of high-level communications, without more, can sustain an absolute, unqualified Presidential privilege of immunity from judicial process under all circumstances. [...] We conclude that when the ground for asserting privilege as to subpoenaed materials sought for use in a criminal trial is based only on the generalized interest in confidentiality, it cannot prevail over the fundamental demands of due process of law in the fair administration of criminal justice. The generalized assertion of privilege must yield to the demonstrated, specific need for evidence in a pending criminal trial.</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然而，无论是分权原则，还是对高层通信保密性的需要，仅凭其本身，都不足以支撑一项在任何情形下均不受司法程序追究的绝对、无条件的总统特权。[...] 我们得出结论：当对为刑事审判而调取的被传唤资料主张特权，其依据仅是对保密性的一般性利益时，该主张不能优先于正当法律程序在公正实施刑事司法方面的根本要求。此种一般化的特权主张，必须让位于在待决刑事审判中对证据已经证明的具体需要。</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判决迫使尼克松交出录音带，数周后他宣布辞职；它确立了总统不能以特权对抗司法程序的先例。</w:t>
      </w:r>
    </w:p>
    <w:p>
      <w:pPr>
        <w:spacing w:before="40" w:after="40"/>
      </w:pPr>
      <w:r>
        <w:rPr>
          <w:rFonts w:ascii="Times New Roman" w:hAnsi="Times New Roman" w:eastAsia="宋体" w:cs="Times New Roman"/>
          <w:color w:val="808080"/>
          <w:sz w:val="15"/>
        </w:rPr>
        <w:t>来源：https://www.law.cornell.edu/supremecourt/text/418/683</w:t>
      </w:r>
    </w:p>
    <w:p>
      <w:pPr>
        <w:keepNext/>
        <w:spacing w:before="440" w:after="40"/>
      </w:pPr>
      <w:r>
        <w:rPr>
          <w:rFonts w:ascii="黑体" w:hAnsi="黑体" w:eastAsia="黑体" w:cs="黑体"/>
          <w:b/>
          <w:color w:val="1F3864"/>
          <w:sz w:val="26"/>
        </w:rPr>
        <w:t>雪佛龙诉自然资源保护委员会案</w:t>
      </w:r>
    </w:p>
    <w:p>
      <w:pPr>
        <w:keepNext/>
        <w:spacing w:after="60"/>
      </w:pPr>
      <w:r>
        <w:rPr>
          <w:rFonts w:ascii="Times New Roman" w:hAnsi="Times New Roman" w:eastAsia="宋体" w:cs="Times New Roman"/>
          <w:i/>
          <w:color w:val="595959"/>
          <w:sz w:val="18"/>
        </w:rPr>
        <w:t>Chevron U.S.A. Inc. v. Natural Resources Defense Council</w:t>
      </w:r>
    </w:p>
    <w:p>
      <w:pPr>
        <w:keepNext/>
        <w:spacing w:after="160"/>
      </w:pPr>
      <w:r>
        <w:rPr>
          <w:rFonts w:ascii="Times New Roman" w:hAnsi="Times New Roman" w:eastAsia="宋体" w:cs="Times New Roman"/>
          <w:color w:val="808080"/>
          <w:sz w:val="16"/>
        </w:rPr>
        <w:t>467 U.S. 837 · 1984 年 6 月 25 日 · 6–0，史蒂文斯法官执笔</w:t>
      </w:r>
    </w:p>
    <w:p>
      <w:pPr>
        <w:keepNext/>
        <w:spacing w:after="120" w:line="336" w:lineRule="auto"/>
        <w:jc w:val="both"/>
      </w:pPr>
      <w:r>
        <w:rPr>
          <w:rFonts w:ascii="Times New Roman" w:hAnsi="Times New Roman" w:eastAsia="宋体" w:cs="Times New Roman"/>
          <w:color w:val="222222"/>
          <w:sz w:val="19"/>
        </w:rPr>
        <w:t>环保团体挑战环境保护署对《清洁空气法》“固定源”一词的解释。法院提出两步检验：国会是否已就争议问题作出明确规定；若法律沉默或含糊，行政机关的解释是否“可以接受”。</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When a court reviews an agency's construction of the statute which it administers, it is confronted with two questions. First, always, is the question whether Congress has directly spoken to the precise question at issue. If the intent of Congress is clear, that is the end of the matter; for the court, as well as the agency, must give effect to the unambiguously expressed intent of Congress. If, however, the court determines Congress has not directly addressed the precise question at issue, the court does not simply impose its own construction on the statute, as would be necessary in the absence of an administrative interpretation. Rather, if the statute is silent or ambiguous with respect to the specific issue, the question for the court is whether the agency's answer is based on a permissible construction of the statute.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法院在审查行政机关对其所执行之法律的解释时，面临两个问题。第一个问题始终是：国会是否已就所涉具体问题作出直接规定。如果国会的意图明确，则到此为止；因为法院与行政机关一样，都必须落实国会明确表达的意图。但是，如果法院认定国会并未直接处理所涉具体问题，法院并不径自将其自身的解释强加于法律之上，如同在没有任何行政解释时所必需的那样。相反，如果法律对该具体问题未作规定或者含义含糊，法院所要问的问题便是：行政机关的答案是否建立在对该法律的一种可允许的解释之上。</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“雪佛龙尊重”成为行政法上被援引最多的判决，支撑了行政国家的扩张；2024 年被 Loper Bright 案推翻。</w:t>
      </w:r>
    </w:p>
    <w:p>
      <w:pPr>
        <w:spacing w:before="40" w:after="40"/>
      </w:pPr>
      <w:r>
        <w:rPr>
          <w:rFonts w:ascii="Times New Roman" w:hAnsi="Times New Roman" w:eastAsia="宋体" w:cs="Times New Roman"/>
          <w:color w:val="808080"/>
          <w:sz w:val="15"/>
        </w:rPr>
        <w:t>来源：https://www.law.cornell.edu/supremecourt/text/467/837</w:t>
      </w:r>
    </w:p>
    <w:p>
      <w:pPr>
        <w:keepNext/>
        <w:spacing w:before="440" w:after="40"/>
      </w:pPr>
      <w:r>
        <w:rPr>
          <w:rFonts w:ascii="黑体" w:hAnsi="黑体" w:eastAsia="黑体" w:cs="黑体"/>
          <w:b/>
          <w:color w:val="1F3864"/>
          <w:sz w:val="26"/>
        </w:rPr>
        <w:t>布什诉戈尔案</w:t>
      </w:r>
    </w:p>
    <w:p>
      <w:pPr>
        <w:keepNext/>
        <w:spacing w:after="60"/>
      </w:pPr>
      <w:r>
        <w:rPr>
          <w:rFonts w:ascii="Times New Roman" w:hAnsi="Times New Roman" w:eastAsia="宋体" w:cs="Times New Roman"/>
          <w:i/>
          <w:color w:val="595959"/>
          <w:sz w:val="18"/>
        </w:rPr>
        <w:t>Bush v. Gore</w:t>
      </w:r>
    </w:p>
    <w:p>
      <w:pPr>
        <w:keepNext/>
        <w:spacing w:after="160"/>
      </w:pPr>
      <w:r>
        <w:rPr>
          <w:rFonts w:ascii="Times New Roman" w:hAnsi="Times New Roman" w:eastAsia="宋体" w:cs="Times New Roman"/>
          <w:color w:val="808080"/>
          <w:sz w:val="16"/>
        </w:rPr>
        <w:t>531 U.S. 98 · 2000 年 12 月 12 日 · 5–4，法院不署名意见（per curiam）</w:t>
      </w:r>
    </w:p>
    <w:p>
      <w:pPr>
        <w:keepNext/>
        <w:spacing w:after="120" w:line="336" w:lineRule="auto"/>
        <w:jc w:val="both"/>
      </w:pPr>
      <w:r>
        <w:rPr>
          <w:rFonts w:ascii="Times New Roman" w:hAnsi="Times New Roman" w:eastAsia="宋体" w:cs="Times New Roman"/>
          <w:color w:val="222222"/>
          <w:sz w:val="19"/>
        </w:rPr>
        <w:t>2000 年总统大选佛罗里达州计票差距极小，佛州最高法院命令全州按不同标准重新计票。布什请求联邦最高法院干预，法院认为重新计票缺乏统一标准，违反平等保护，且无法在法定期限内合宪完成，遂停止计票。</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The recount process, in its features here described, is inconsistent with the minimum procedures necessary to protect the fundamental right of each voter in the special instance of a statewide recount under the authority of a single state judicial officer. Our consideration is limited to the present circumstances, for the problem of equal protection in election processes generally presents many complexities.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此处所述特征下的重新计票程序，与在由单一州司法官员主持全州重新计票这一特殊情形下保护每一位选民基本权利所必需的最低程序并不相符。我们的考量仅限于本案情形，因为选举过程中的平等保护问题一般而言涉及诸多复杂因素。</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判决实质上决定了当年总统选举结果；法院自我限定“仅适用于本案情形”，其正当性至今仍有争论。</w:t>
      </w:r>
    </w:p>
    <w:p>
      <w:pPr>
        <w:spacing w:before="40" w:after="40"/>
      </w:pPr>
      <w:r>
        <w:rPr>
          <w:rFonts w:ascii="Times New Roman" w:hAnsi="Times New Roman" w:eastAsia="宋体" w:cs="Times New Roman"/>
          <w:color w:val="808080"/>
          <w:sz w:val="15"/>
        </w:rPr>
        <w:t>来源：https://www.law.cornell.edu/supremecourt/text/00-949</w:t>
      </w:r>
    </w:p>
    <w:p>
      <w:pPr>
        <w:keepNext/>
        <w:spacing w:before="440" w:after="40"/>
      </w:pPr>
      <w:r>
        <w:rPr>
          <w:rFonts w:ascii="黑体" w:hAnsi="黑体" w:eastAsia="黑体" w:cs="黑体"/>
          <w:b/>
          <w:color w:val="1F3864"/>
          <w:sz w:val="26"/>
        </w:rPr>
        <w:t>哥伦比亚特区诉海勒案</w:t>
      </w:r>
    </w:p>
    <w:p>
      <w:pPr>
        <w:keepNext/>
        <w:spacing w:after="60"/>
      </w:pPr>
      <w:r>
        <w:rPr>
          <w:rFonts w:ascii="Times New Roman" w:hAnsi="Times New Roman" w:eastAsia="宋体" w:cs="Times New Roman"/>
          <w:i/>
          <w:color w:val="595959"/>
          <w:sz w:val="18"/>
        </w:rPr>
        <w:t>District of Columbia v. Heller</w:t>
      </w:r>
    </w:p>
    <w:p>
      <w:pPr>
        <w:keepNext/>
        <w:spacing w:after="160"/>
      </w:pPr>
      <w:r>
        <w:rPr>
          <w:rFonts w:ascii="Times New Roman" w:hAnsi="Times New Roman" w:eastAsia="宋体" w:cs="Times New Roman"/>
          <w:color w:val="808080"/>
          <w:sz w:val="16"/>
        </w:rPr>
        <w:t>554 U.S. 570 · 2008 年 6 月 26 日 · 5–4，斯卡利亚法官执笔</w:t>
      </w:r>
    </w:p>
    <w:p>
      <w:pPr>
        <w:keepNext/>
        <w:spacing w:after="120" w:line="336" w:lineRule="auto"/>
        <w:jc w:val="both"/>
      </w:pPr>
      <w:r>
        <w:rPr>
          <w:rFonts w:ascii="Times New Roman" w:hAnsi="Times New Roman" w:eastAsia="宋体" w:cs="Times New Roman"/>
          <w:color w:val="222222"/>
          <w:sz w:val="19"/>
        </w:rPr>
        <w:t>华盛顿特区法律禁止居民持有手枪，并要求长枪存放时上锁、卸弹。作为特警的海勒起诉主张该法违反第二修正案。法院首次认定，第二修正案保护个人为传统合法目的（如在家中自卫）持有武器的权利，而非仅保护民兵。</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Putting all of these textual elements together, we find that they guarantee the individual right to possess and carry weapons in case of confrontation. [...] it has always been widely understood that the Second Amendment, like the First and Fourth Amendments, codified a pre-existing right. [...] Like most rights, the right secured by the Second Amendment is not unlimited. [...] nothing in our opinion should be taken to cast doubt on longstanding prohibitions on the possession of firearms by felons and the mentally ill, or laws forbidding the carrying of firearms in sensitive places such as schools and government buildings, or laws imposing conditions and qualifications on the commercial sale of arms.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将所有这些文本要素综合起来，我们认为，它们保障的是个人在对抗情形下持有并携带武器的权利。[...] 人们历来普遍认为，第二修正案与第一修正案、第四修正案一样，只是将一项先已存在的权利予以法典化。[...] 与大多数权利一样，第二修正案所保障的权利并非不受限制。[...] 我们意见中的任何内容，均不应被视为对下列长期存在的禁令有所质疑：禁止重罪犯和精神病患者持有枪支，禁止在学校、政府建筑等敏感场所携带枪支，以及对枪支的商业销售施加条件与资格要求。</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判决推翻特区的手枪禁令，重新定义了第二修正案；但其适用范围（如州法与各类管制）仍由后续判例逐步划定。</w:t>
      </w:r>
    </w:p>
    <w:p>
      <w:pPr>
        <w:spacing w:before="40" w:after="40"/>
      </w:pPr>
      <w:r>
        <w:rPr>
          <w:rFonts w:ascii="Times New Roman" w:hAnsi="Times New Roman" w:eastAsia="宋体" w:cs="Times New Roman"/>
          <w:color w:val="808080"/>
          <w:sz w:val="15"/>
        </w:rPr>
        <w:t>来源：https://www.law.cornell.edu/supremecourt/text/07-290</w:t>
      </w:r>
    </w:p>
    <w:p>
      <w:pPr>
        <w:keepNext/>
        <w:spacing w:before="440" w:after="40"/>
      </w:pPr>
      <w:r>
        <w:rPr>
          <w:rFonts w:ascii="黑体" w:hAnsi="黑体" w:eastAsia="黑体" w:cs="黑体"/>
          <w:b/>
          <w:color w:val="1F3864"/>
          <w:sz w:val="26"/>
        </w:rPr>
        <w:t>多布斯诉杰克逊妇女健康组织案</w:t>
      </w:r>
    </w:p>
    <w:p>
      <w:pPr>
        <w:keepNext/>
        <w:spacing w:after="60"/>
      </w:pPr>
      <w:r>
        <w:rPr>
          <w:rFonts w:ascii="Times New Roman" w:hAnsi="Times New Roman" w:eastAsia="宋体" w:cs="Times New Roman"/>
          <w:i/>
          <w:color w:val="595959"/>
          <w:sz w:val="18"/>
        </w:rPr>
        <w:t>Dobbs v. Jackson Women's Health Organization</w:t>
      </w:r>
    </w:p>
    <w:p>
      <w:pPr>
        <w:keepNext/>
        <w:spacing w:after="160"/>
      </w:pPr>
      <w:r>
        <w:rPr>
          <w:rFonts w:ascii="Times New Roman" w:hAnsi="Times New Roman" w:eastAsia="宋体" w:cs="Times New Roman"/>
          <w:color w:val="808080"/>
          <w:sz w:val="16"/>
        </w:rPr>
        <w:t>597 U.S. 215 · 2022 年 6 月 24 日 · 6–3（推翻 Roe 与 Casey 的部分为 5–4；罗伯茨首席大法官仅同意判决结果）</w:t>
      </w:r>
    </w:p>
    <w:p>
      <w:pPr>
        <w:keepNext/>
        <w:spacing w:after="120" w:line="336" w:lineRule="auto"/>
        <w:jc w:val="both"/>
      </w:pPr>
      <w:r>
        <w:rPr>
          <w:rFonts w:ascii="Times New Roman" w:hAnsi="Times New Roman" w:eastAsia="宋体" w:cs="Times New Roman"/>
          <w:color w:val="222222"/>
          <w:sz w:val="19"/>
        </w:rPr>
        <w:t>密西西比州法禁止怀孕 15 周后的堕胎，直接挑战 Roe 与 Casey 确立的规则。法院认为，宪法并未赋予堕胎权，Roe 的推理缺乏文本与历史依据，堕胎问题应交由各州人民通过立法决定。</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We hold that Roe and Casey must be overruled. [...] It is time to heed the Constitution and return the issue of abortion to the people’s elected representatives.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我们裁定，罗伊案与凯西案必须被推翻。[...] 现在是听从宪法、将堕胎问题交还人民民选代表的时候了。</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判决推翻 Roe 与 Casey，各州随即出现截然不同的堕胎立法；它也引发关于先例拘束力（stare decisis）的持续争论。</w:t>
      </w:r>
    </w:p>
    <w:p>
      <w:pPr>
        <w:spacing w:before="40" w:after="40"/>
      </w:pPr>
      <w:r>
        <w:rPr>
          <w:rFonts w:ascii="Times New Roman" w:hAnsi="Times New Roman" w:eastAsia="宋体" w:cs="Times New Roman"/>
          <w:color w:val="808080"/>
          <w:sz w:val="15"/>
        </w:rPr>
        <w:t>来源：https://www.law.cornell.edu/supremecourt/text/19-1392</w:t>
      </w:r>
    </w:p>
    <w:p>
      <w:pPr>
        <w:keepNext/>
        <w:spacing w:before="440" w:after="40"/>
      </w:pPr>
      <w:r>
        <w:rPr>
          <w:rFonts w:ascii="黑体" w:hAnsi="黑体" w:eastAsia="黑体" w:cs="黑体"/>
          <w:b/>
          <w:color w:val="1F3864"/>
          <w:sz w:val="26"/>
        </w:rPr>
        <w:t>洛珀·布莱特诉雷蒙多案</w:t>
      </w:r>
    </w:p>
    <w:p>
      <w:pPr>
        <w:keepNext/>
        <w:spacing w:after="60"/>
      </w:pPr>
      <w:r>
        <w:rPr>
          <w:rFonts w:ascii="Times New Roman" w:hAnsi="Times New Roman" w:eastAsia="宋体" w:cs="Times New Roman"/>
          <w:i/>
          <w:color w:val="595959"/>
          <w:sz w:val="18"/>
        </w:rPr>
        <w:t>Loper Bright Enterprises v. Raimondo</w:t>
      </w:r>
    </w:p>
    <w:p>
      <w:pPr>
        <w:keepNext/>
        <w:spacing w:after="160"/>
      </w:pPr>
      <w:r>
        <w:rPr>
          <w:rFonts w:ascii="Times New Roman" w:hAnsi="Times New Roman" w:eastAsia="宋体" w:cs="Times New Roman"/>
          <w:color w:val="808080"/>
          <w:sz w:val="16"/>
        </w:rPr>
        <w:t>603 U.S. 369 · 2024 年 6 月 28 日 · 6–3，罗伯茨首席大法官执笔</w:t>
      </w:r>
    </w:p>
    <w:p>
      <w:pPr>
        <w:keepNext/>
        <w:spacing w:after="120" w:line="336" w:lineRule="auto"/>
        <w:jc w:val="both"/>
      </w:pPr>
      <w:r>
        <w:rPr>
          <w:rFonts w:ascii="Times New Roman" w:hAnsi="Times New Roman" w:eastAsia="宋体" w:cs="Times New Roman"/>
          <w:color w:val="222222"/>
          <w:sz w:val="19"/>
        </w:rPr>
        <w:t>渔业公司挑战国家海洋渔业局要求其承担观察员费用的规则，认为该规则超出法律授权。法院借此重新审视雪佛龙尊重，认定《行政程序法》要求法院独立判断法律的含义。</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Chevron is overruled. Courts must exercise their independent judgment in deciding whether an agency has acted within its statutory authority, as the APA requires. [...] But courts need not and under the APA may not defer to an agency interpretation of the law simply because a statute is ambiguous.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谢弗龙案被推翻。法院在判断行政机关是否在其法定权限内行事时，必须行使独立判断，《行政程序法》即作此要求。[...] 但法院无需、且依《行政程序法》不得仅因制定法存在歧义，便顺从行政机关对法律的解释。</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判决推翻 Chevron，收缩了行政机关解释法律的余地，被视为数十年来行政法上最大的结构性变化。</w:t>
      </w:r>
    </w:p>
    <w:p>
      <w:pPr>
        <w:spacing w:before="40" w:after="40"/>
      </w:pPr>
      <w:r>
        <w:rPr>
          <w:rFonts w:ascii="Times New Roman" w:hAnsi="Times New Roman" w:eastAsia="宋体" w:cs="Times New Roman"/>
          <w:color w:val="808080"/>
          <w:sz w:val="15"/>
        </w:rPr>
        <w:t>来源：https://www.law.cornell.edu/supremecourt/text/22-451</w:t>
      </w:r>
    </w:p>
    <w:p>
      <w:pPr>
        <w:pageBreakBefore/>
        <w:pBdr>
          <w:bottom w:val="single" w:sz="4" w:space="4" w:color="BFBFBF"/>
        </w:pBdr>
        <w:spacing w:before="0" w:after="200"/>
      </w:pPr>
      <w:r>
        <w:rPr>
          <w:rFonts w:ascii="黑体" w:hAnsi="黑体" w:eastAsia="黑体" w:cs="黑体"/>
          <w:b/>
          <w:color w:val="1F3864"/>
          <w:sz w:val="28"/>
        </w:rPr>
        <w:t>延伸阅读</w:t>
      </w:r>
    </w:p>
    <w:p>
      <w:pPr>
        <w:spacing w:after="20"/>
      </w:pPr>
      <w:r>
        <w:rPr>
          <w:rFonts w:ascii="Times New Roman" w:hAnsi="Times New Roman" w:eastAsia="宋体" w:cs="Times New Roman"/>
          <w:color w:val="222222"/>
          <w:sz w:val="18"/>
        </w:rPr>
        <w:t>康奈尔法律信息研究所 · 最高法院判决全文</w:t>
      </w:r>
    </w:p>
    <w:p>
      <w:pPr>
        <w:spacing w:after="180"/>
      </w:pPr>
      <w:r>
        <w:rPr>
          <w:rFonts w:ascii="Times New Roman" w:hAnsi="Times New Roman" w:eastAsia="宋体" w:cs="Times New Roman"/>
          <w:color w:val="808080"/>
          <w:sz w:val="16"/>
        </w:rPr>
        <w:t>https://www.law.cornell.edu/supremecourt/text</w:t>
      </w:r>
    </w:p>
    <w:p>
      <w:pPr>
        <w:spacing w:after="20"/>
      </w:pPr>
      <w:r>
        <w:rPr>
          <w:rFonts w:ascii="Times New Roman" w:hAnsi="Times New Roman" w:eastAsia="宋体" w:cs="Times New Roman"/>
          <w:color w:val="222222"/>
          <w:sz w:val="18"/>
        </w:rPr>
        <w:t>Justia · 按卷页检索判决</w:t>
      </w:r>
    </w:p>
    <w:p>
      <w:pPr>
        <w:spacing w:after="180"/>
      </w:pPr>
      <w:r>
        <w:rPr>
          <w:rFonts w:ascii="Times New Roman" w:hAnsi="Times New Roman" w:eastAsia="宋体" w:cs="Times New Roman"/>
          <w:color w:val="808080"/>
          <w:sz w:val="16"/>
        </w:rPr>
        <w:t>https://supreme.justia.com/cases/federal/us/</w:t>
      </w:r>
    </w:p>
    <w:p>
      <w:pPr>
        <w:spacing w:after="20"/>
      </w:pPr>
      <w:r>
        <w:rPr>
          <w:rFonts w:ascii="Times New Roman" w:hAnsi="Times New Roman" w:eastAsia="宋体" w:cs="Times New Roman"/>
          <w:color w:val="222222"/>
          <w:sz w:val="18"/>
        </w:rPr>
        <w:t>CourtListener · 判例与口头辩论检索</w:t>
      </w:r>
    </w:p>
    <w:p>
      <w:pPr>
        <w:spacing w:after="180"/>
      </w:pPr>
      <w:r>
        <w:rPr>
          <w:rFonts w:ascii="Times New Roman" w:hAnsi="Times New Roman" w:eastAsia="宋体" w:cs="Times New Roman"/>
          <w:color w:val="808080"/>
          <w:sz w:val="16"/>
        </w:rPr>
        <w:t>https://www.courtlistener.com</w:t>
      </w:r>
    </w:p>
    <w:p>
      <w:pPr>
        <w:spacing w:after="20"/>
      </w:pPr>
      <w:r>
        <w:rPr>
          <w:rFonts w:ascii="Times New Roman" w:hAnsi="Times New Roman" w:eastAsia="宋体" w:cs="Times New Roman"/>
          <w:color w:val="222222"/>
          <w:sz w:val="18"/>
        </w:rPr>
        <w:t>Oyez · 判决摘要与庭审录音</w:t>
      </w:r>
    </w:p>
    <w:p>
      <w:pPr>
        <w:spacing w:after="180"/>
      </w:pPr>
      <w:r>
        <w:rPr>
          <w:rFonts w:ascii="Times New Roman" w:hAnsi="Times New Roman" w:eastAsia="宋体" w:cs="Times New Roman"/>
          <w:color w:val="808080"/>
          <w:sz w:val="16"/>
        </w:rPr>
        <w:t>https://www.oyez.org</w:t>
      </w:r>
    </w:p>
    <w:p>
      <w:pPr>
        <w:spacing w:after="20"/>
      </w:pPr>
      <w:r>
        <w:rPr>
          <w:rFonts w:ascii="Times New Roman" w:hAnsi="Times New Roman" w:eastAsia="宋体" w:cs="Times New Roman"/>
          <w:color w:val="222222"/>
          <w:sz w:val="18"/>
        </w:rPr>
        <w:t>宪法注释版 · 逐条附判例</w:t>
      </w:r>
    </w:p>
    <w:p>
      <w:pPr>
        <w:spacing w:after="180"/>
      </w:pPr>
      <w:r>
        <w:rPr>
          <w:rFonts w:ascii="Times New Roman" w:hAnsi="Times New Roman" w:eastAsia="宋体" w:cs="Times New Roman"/>
          <w:color w:val="808080"/>
          <w:sz w:val="16"/>
        </w:rPr>
        <w:t>https://constitution.congress.gov</w:t>
      </w:r>
    </w:p>
    <w:p>
      <w:pPr>
        <w:spacing w:after="20"/>
      </w:pPr>
      <w:r>
        <w:rPr>
          <w:rFonts w:ascii="Times New Roman" w:hAnsi="Times New Roman" w:eastAsia="宋体" w:cs="Times New Roman"/>
          <w:color w:val="222222"/>
          <w:sz w:val="18"/>
        </w:rPr>
        <w:t>最高法院官网 · 判决书与庭期</w:t>
      </w:r>
    </w:p>
    <w:p>
      <w:pPr>
        <w:spacing w:after="180"/>
      </w:pPr>
      <w:r>
        <w:rPr>
          <w:rFonts w:ascii="Times New Roman" w:hAnsi="Times New Roman" w:eastAsia="宋体" w:cs="Times New Roman"/>
          <w:color w:val="808080"/>
          <w:sz w:val="16"/>
        </w:rPr>
        <w:t>https://www.supremecourt.gov</w:t>
      </w:r>
    </w:p>
    <w:p>
      <w:pPr>
        <w:spacing w:after="20"/>
      </w:pPr>
      <w:r>
        <w:rPr>
          <w:rFonts w:ascii="Times New Roman" w:hAnsi="Times New Roman" w:eastAsia="宋体" w:cs="Times New Roman"/>
          <w:color w:val="222222"/>
          <w:sz w:val="18"/>
        </w:rPr>
        <w:t>Caselaw Access Project · 历史判例全文</w:t>
      </w:r>
    </w:p>
    <w:p>
      <w:pPr>
        <w:spacing w:after="180"/>
      </w:pPr>
      <w:r>
        <w:rPr>
          <w:rFonts w:ascii="Times New Roman" w:hAnsi="Times New Roman" w:eastAsia="宋体" w:cs="Times New Roman"/>
          <w:color w:val="808080"/>
          <w:sz w:val="16"/>
        </w:rPr>
        <w:t>https://case.law</w:t>
      </w:r>
    </w:p>
    <w:p>
      <w:pPr>
        <w:spacing w:before="480"/>
      </w:pPr>
      <w:r>
        <w:rPr>
          <w:rFonts w:ascii="Times New Roman" w:hAnsi="Times New Roman" w:eastAsia="宋体" w:cs="Times New Roman"/>
          <w:color w:val="808080"/>
          <w:sz w:val="16"/>
        </w:rPr>
        <w:t>本册由编译者整理排印 · 2026 年 10 月</w:t>
      </w:r>
    </w:p>
    <w:p>
      <w:r>
        <w:rPr>
          <w:rFonts w:ascii="Times New Roman" w:hAnsi="Times New Roman" w:eastAsia="宋体" w:cs="Times New Roman"/>
          <w:color w:val="808080"/>
          <w:sz w:val="16"/>
        </w:rPr>
        <w:t>判决意见的引用请以《美国最高法院判例汇编》的卷页为准；本册译文仅供研读参考。</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美国司法史 · 判例选读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美国司法史：标志性判例选读（中英对照）</dc:title>
  <dc:subject>Landmark decisions of the U.S. Supreme Court, bilingual reader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