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86C7D" w14:textId="77777777" w:rsidR="00D46918" w:rsidRDefault="00000000">
      <w:pPr>
        <w:pStyle w:val="Heading2"/>
      </w:pPr>
      <w:bookmarkStart w:id="0" w:name="question-c1.1-55-total-marks"/>
      <w:r>
        <w:t>Question C1.1 (</w:t>
      </w:r>
      <w:r>
        <w:rPr>
          <w:i/>
          <w:iCs/>
        </w:rPr>
        <w:t>55 total marks</w:t>
      </w:r>
      <w:r>
        <w:t>)</w:t>
      </w:r>
    </w:p>
    <w:p w14:paraId="5C96CD20" w14:textId="77777777" w:rsidR="00D46918" w:rsidRDefault="00000000">
      <w:pPr>
        <w:pStyle w:val="FirstParagraph"/>
      </w:pPr>
      <w:r>
        <w:t xml:space="preserve">Considering the multiplicative group </w:t>
      </w:r>
      <m:oMath>
        <m:r>
          <w:rPr>
            <w:rFonts w:ascii="Cambria Math" w:hAnsi="Cambria Math"/>
          </w:rPr>
          <m:t>GL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,R</m:t>
            </m:r>
          </m:e>
        </m:d>
      </m:oMath>
      <w:r>
        <w:t xml:space="preserve"> and its subset </w:t>
      </w:r>
      <m:oMath>
        <m:r>
          <w:rPr>
            <w:rFonts w:ascii="Cambria Math" w:hAnsi="Cambria Math"/>
          </w:rPr>
          <m:t>H</m:t>
        </m:r>
      </m:oMath>
      <w:r>
        <w:t>, such that…</w:t>
      </w:r>
    </w:p>
    <w:p w14:paraId="20483D09" w14:textId="77777777" w:rsidR="00D4691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,R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∈R,</m:t>
              </m:r>
              <m:r>
                <w:rPr>
                  <w:rFonts w:ascii="Cambria Math" w:hAnsi="Cambria Math"/>
                </w:rPr>
                <m:t>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E5A5824" w14:textId="77777777" w:rsidR="00D46918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 xml:space="preserve">and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∈R,</m:t>
              </m:r>
              <m:r>
                <w:rPr>
                  <w:rFonts w:ascii="Cambria Math" w:hAnsi="Cambria Math"/>
                </w:rPr>
                <m:t>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AF416B3" w14:textId="77777777" w:rsidR="00D46918" w:rsidRDefault="00000000">
      <w:pPr>
        <w:pStyle w:val="Heading3"/>
      </w:pPr>
      <w:bookmarkStart w:id="1" w:name="part-a-15-marks"/>
      <w:r>
        <w:t>Part A (</w:t>
      </w:r>
      <w:r>
        <w:rPr>
          <w:i/>
          <w:iCs/>
        </w:rPr>
        <w:t>15 marks</w:t>
      </w:r>
      <w:r>
        <w:t>)</w:t>
      </w:r>
    </w:p>
    <w:p w14:paraId="41179EA7" w14:textId="77777777" w:rsidR="00D46918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be in </w:t>
      </w:r>
      <m:oMath>
        <m:r>
          <w:rPr>
            <w:rFonts w:ascii="Cambria Math" w:hAnsi="Cambria Math"/>
          </w:rPr>
          <m:t>H</m:t>
        </m:r>
      </m:oMath>
      <w:r>
        <w:t xml:space="preserve">. Then, from the </w:t>
      </w:r>
      <w:r>
        <w:rPr>
          <w:b/>
          <w:bCs/>
        </w:rPr>
        <w:t>One-Step Subgroup Test</w:t>
      </w:r>
      <w:r>
        <w:t xml:space="preserve">, we can show that the non-empty subset </w:t>
      </w:r>
      <m:oMath>
        <m:r>
          <w:rPr>
            <w:rFonts w:ascii="Cambria Math" w:hAnsi="Cambria Math"/>
          </w:rPr>
          <m:t>H</m:t>
        </m:r>
      </m:oMath>
      <w:r>
        <w:t xml:space="preserve"> is a subgroup of </w:t>
      </w:r>
      <m:oMath>
        <m:r>
          <w:rPr>
            <w:rFonts w:ascii="Cambria Math" w:hAnsi="Cambria Math"/>
          </w:rPr>
          <m:t>GL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,R</m:t>
            </m:r>
          </m:e>
        </m:d>
      </m:oMath>
      <w:r>
        <w:t xml:space="preserve"> over matrix multiplication if…</w:t>
      </w:r>
    </w:p>
    <w:p w14:paraId="422E4D67" w14:textId="77777777" w:rsidR="00D46918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nor/>
                  </m:rPr>
                  <m:t xml:space="preserve"> by defintion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H</m:t>
                </m:r>
              </m:e>
            </m:mr>
          </m:m>
        </m:oMath>
      </m:oMathPara>
    </w:p>
    <w:p w14:paraId="055C2F01" w14:textId="77777777" w:rsidR="00D46918" w:rsidRDefault="00000000">
      <w:pPr>
        <w:pStyle w:val="FirstParagraph"/>
      </w:pPr>
      <w:r>
        <w:t xml:space="preserve">Therefore, because </w:t>
      </w:r>
      <m:oMath>
        <m:r>
          <w:rPr>
            <w:rFonts w:ascii="Cambria Math" w:hAnsi="Cambria Math"/>
          </w:rPr>
          <m:t>H</m:t>
        </m:r>
      </m:oMath>
      <w:r>
        <w:t xml:space="preserve"> is non-empty and for all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then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 xml:space="preserve">, </w:t>
      </w:r>
      <w:r>
        <w:rPr>
          <w:b/>
          <w:bCs/>
        </w:rPr>
        <w:t xml:space="preserve">we conclude that </w:t>
      </w:r>
      <m:oMath>
        <m:r>
          <w:rPr>
            <w:rFonts w:ascii="Cambria Math" w:hAnsi="Cambria Math"/>
          </w:rPr>
          <m:t>H</m:t>
        </m:r>
      </m:oMath>
      <w:r>
        <w:rPr>
          <w:b/>
          <w:bCs/>
        </w:rPr>
        <w:t xml:space="preserve"> is a subgroup of </w:t>
      </w:r>
      <m:oMath>
        <m:r>
          <w:rPr>
            <w:rFonts w:ascii="Cambria Math" w:hAnsi="Cambria Math"/>
          </w:rPr>
          <m:t>GL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,R</m:t>
            </m:r>
          </m:e>
        </m:d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</w:p>
    <w:p w14:paraId="3C83F0E3" w14:textId="77777777" w:rsidR="00D46918" w:rsidRDefault="00000000">
      <w:pPr>
        <w:pStyle w:val="Heading3"/>
      </w:pPr>
      <w:bookmarkStart w:id="2" w:name="part-b-10-marks"/>
      <w:bookmarkEnd w:id="1"/>
      <w:r>
        <w:t>Part B (</w:t>
      </w:r>
      <w:r>
        <w:rPr>
          <w:i/>
          <w:iCs/>
        </w:rPr>
        <w:t>10 marks</w:t>
      </w:r>
      <w:r>
        <w:t>)</w:t>
      </w:r>
    </w:p>
    <w:p w14:paraId="2CBCFECC" w14:textId="77777777" w:rsidR="00D46918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 xml:space="preserve"> such that the mapping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H</m:t>
        </m:r>
      </m:oMath>
      <w:r>
        <w:t xml:space="preserve"> is given by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</m:oMath>
      <w:r>
        <w:t xml:space="preserve"> for each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>.</w:t>
      </w:r>
    </w:p>
    <w:p w14:paraId="698792C7" w14:textId="77777777" w:rsidR="00D46918" w:rsidRDefault="00000000">
      <w:pPr>
        <w:pStyle w:val="BodyText"/>
      </w:pPr>
      <w:r>
        <w:t xml:space="preserve">The mapping </w:t>
      </w:r>
      <m:oMath>
        <m:r>
          <w:rPr>
            <w:rFonts w:ascii="Cambria Math" w:hAnsi="Cambria Math"/>
          </w:rPr>
          <m:t>f</m:t>
        </m:r>
      </m:oMath>
      <w:r>
        <w:t xml:space="preserve"> is a group homomorphism, since </w:t>
      </w:r>
      <w:r>
        <w:rPr>
          <w:b/>
          <w:bCs/>
        </w:rPr>
        <w:t>it preserves the group operation</w:t>
      </w:r>
      <w:r>
        <w:t>:</w:t>
      </w:r>
    </w:p>
    <w:p w14:paraId="1116BEC0" w14:textId="77777777" w:rsidR="00D46918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∀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P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AP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BP</m:t>
                        </m:r>
                      </m:e>
                    </m:d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e>
                </m:mr>
              </m:m>
            </m:e>
          </m:borderBox>
        </m:oMath>
      </m:oMathPara>
    </w:p>
    <w:p w14:paraId="30A09927" w14:textId="77777777" w:rsidR="00D46918" w:rsidRDefault="00000000">
      <w:pPr>
        <w:pStyle w:val="Heading3"/>
      </w:pPr>
      <w:bookmarkStart w:id="3" w:name="part-c-10-marks"/>
      <w:bookmarkEnd w:id="2"/>
      <w:r>
        <w:lastRenderedPageBreak/>
        <w:t>Part C (</w:t>
      </w:r>
      <w:r>
        <w:rPr>
          <w:i/>
          <w:iCs/>
        </w:rPr>
        <w:t>10 marks</w:t>
      </w:r>
      <w:r>
        <w:t>)</w:t>
      </w:r>
    </w:p>
    <w:p w14:paraId="1C2038FF" w14:textId="77777777" w:rsidR="00D46918" w:rsidRDefault="00000000">
      <w:pPr>
        <w:pStyle w:val="FirstParagraph"/>
      </w:pPr>
      <w:r>
        <w:t xml:space="preserve">The aforementioned mapping </w:t>
      </w:r>
      <w:r>
        <w:rPr>
          <w:b/>
          <w:bCs/>
        </w:rPr>
        <w:t>is also a group isomorphism</w:t>
      </w:r>
      <w:r>
        <w:t>, as it’s both injective and surjective:</w:t>
      </w:r>
    </w:p>
    <w:p w14:paraId="1B376196" w14:textId="77777777" w:rsidR="00D46918" w:rsidRDefault="00000000">
      <w:pPr>
        <w:pStyle w:val="BodyText"/>
      </w:pPr>
      <w:r>
        <w:t xml:space="preserve">First, we can check injectivity by assuming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for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>, such that…</w:t>
      </w:r>
    </w:p>
    <w:p w14:paraId="36A76DE4" w14:textId="77777777" w:rsidR="00D46918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AP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BP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∴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m:t xml:space="preserve"> is injective</m:t>
          </m:r>
        </m:oMath>
      </m:oMathPara>
    </w:p>
    <w:p w14:paraId="502F98B9" w14:textId="77777777" w:rsidR="00D46918" w:rsidRDefault="00000000">
      <w:pPr>
        <w:pStyle w:val="FirstParagraph"/>
      </w:pPr>
      <w:r>
        <w:t xml:space="preserve">Second, we can check surjectivity by finding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>…</w:t>
      </w:r>
    </w:p>
    <w:p w14:paraId="4D02C354" w14:textId="77777777" w:rsidR="00D46918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AP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by definition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m:t xml:space="preserve"> is surjective</m:t>
                </m:r>
              </m:e>
            </m:mr>
          </m:m>
        </m:oMath>
      </m:oMathPara>
    </w:p>
    <w:p w14:paraId="7E0C4A59" w14:textId="77777777" w:rsidR="00D46918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m:rPr>
                  <m:nor/>
                </m:rPr>
                <m:t>the mapping is a group isomorphism</m:t>
              </m:r>
            </m:e>
          </m:borderBox>
        </m:oMath>
      </m:oMathPara>
    </w:p>
    <w:p w14:paraId="388D3A8F" w14:textId="77777777" w:rsidR="00D46918" w:rsidRDefault="00000000">
      <w:pPr>
        <w:pStyle w:val="Heading3"/>
      </w:pPr>
      <w:bookmarkStart w:id="4" w:name="part-d-10-marks"/>
      <w:bookmarkEnd w:id="3"/>
      <w:r>
        <w:t>Part D (</w:t>
      </w:r>
      <w:r>
        <w:rPr>
          <w:i/>
          <w:iCs/>
        </w:rPr>
        <w:t>10 marks</w:t>
      </w:r>
      <w:r>
        <w:t>)</w:t>
      </w:r>
    </w:p>
    <w:p w14:paraId="1D0C4E1A" w14:textId="77777777" w:rsidR="00D46918" w:rsidRDefault="00000000">
      <w:pPr>
        <w:pStyle w:val="FirstParagraph"/>
      </w:pPr>
      <w:r>
        <w:t xml:space="preserve">The subgroup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b/>
          <w:bCs/>
        </w:rPr>
        <w:t>isn’t</w:t>
      </w:r>
      <w:r>
        <w:t xml:space="preserve"> an abelian subgroup because matrix multiplication is not commutative:</w:t>
      </w:r>
    </w:p>
    <w:p w14:paraId="7C1D003A" w14:textId="77777777" w:rsidR="00D46918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BA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⟹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⟹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⇔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</m:e>
            </m:mr>
          </m:m>
        </m:oMath>
      </m:oMathPara>
    </w:p>
    <w:p w14:paraId="7F9EA787" w14:textId="77777777" w:rsidR="00D46918" w:rsidRDefault="00000000">
      <w:pPr>
        <w:pStyle w:val="Heading3"/>
      </w:pPr>
      <w:bookmarkStart w:id="5" w:name="part-e-10-marks"/>
      <w:bookmarkEnd w:id="4"/>
      <w:r>
        <w:t>Part E (</w:t>
      </w:r>
      <w:r>
        <w:rPr>
          <w:i/>
          <w:iCs/>
        </w:rPr>
        <w:t>10 marks</w:t>
      </w:r>
      <w:r>
        <w:t>)</w:t>
      </w:r>
    </w:p>
    <w:p w14:paraId="048DECFE" w14:textId="77777777" w:rsidR="00D46918" w:rsidRDefault="00000000">
      <w:pPr>
        <w:pStyle w:val="FirstParagraph"/>
      </w:pPr>
      <w:r>
        <w:t xml:space="preserve">Let the subgroup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  <m:r>
              <m:rPr>
                <m:sty m:val="p"/>
              </m:rPr>
              <w:rPr>
                <w:rFonts w:ascii="Cambria Math" w:hAnsi="Cambria Math"/>
              </w:rPr>
              <m:t>:</m:t>
            </m:r>
            <m:r>
              <w:rPr>
                <w:rFonts w:ascii="Cambria Math" w:hAnsi="Cambria Math"/>
              </w:rPr>
              <m:t>b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∈R</m:t>
            </m:r>
          </m:e>
        </m:d>
      </m:oMath>
      <w:r>
        <w:t xml:space="preserve">. Given that </w:t>
      </w:r>
      <m:oMath>
        <m:r>
          <w:rPr>
            <w:rFonts w:ascii="Cambria Math" w:hAnsi="Cambria Math"/>
          </w:rPr>
          <m:t>K</m:t>
        </m:r>
      </m:oMath>
      <w:r>
        <w:t xml:space="preserve"> is a subgroup of </w:t>
      </w:r>
      <m:oMath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K</m:t>
        </m:r>
      </m:oMath>
      <w:r>
        <w:t xml:space="preserve"> is a normal subgroup if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 xml:space="preserve"> the conjugate </w:t>
      </w:r>
      <m:oMath>
        <m:r>
          <w:rPr>
            <w:rFonts w:ascii="Cambria Math" w:hAnsi="Cambria Math"/>
          </w:rPr>
          <m:t>hk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is also in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53C984FE" w14:textId="77777777" w:rsidR="00D46918" w:rsidRDefault="00000000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H</m:t>
        </m:r>
      </m:oMath>
      <w:r>
        <w:t xml:space="preserve"> (where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 and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K</m:t>
        </m:r>
      </m:oMath>
      <w:r>
        <w:t>…</w:t>
      </w:r>
    </w:p>
    <w:p w14:paraId="74FFF15E" w14:textId="77777777" w:rsidR="00D46918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hk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ad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ad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e>
                      </m:mr>
                    </m:m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mr>
          </m:m>
        </m:oMath>
      </m:oMathPara>
    </w:p>
    <w:p w14:paraId="19DB8EF9" w14:textId="77777777" w:rsidR="00D46918" w:rsidRDefault="00000000">
      <w:pPr>
        <w:pStyle w:val="FirstParagraph"/>
      </w:pPr>
      <w:r>
        <w:lastRenderedPageBreak/>
        <w:t xml:space="preserve">Whilst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 xml:space="preserve"> is not always in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, therefore the conjugate </w:t>
      </w:r>
      <m:oMath>
        <m:r>
          <w:rPr>
            <w:rFonts w:ascii="Cambria Math" w:hAnsi="Cambria Math"/>
          </w:rPr>
          <m:t>hk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is not always in </w:t>
      </w:r>
      <m:oMath>
        <m:r>
          <w:rPr>
            <w:rFonts w:ascii="Cambria Math" w:hAnsi="Cambria Math"/>
          </w:rPr>
          <m:t>K</m:t>
        </m:r>
      </m:oMath>
      <w:r>
        <w:t>:</w:t>
      </w:r>
    </w:p>
    <w:p w14:paraId="1708A89F" w14:textId="77777777" w:rsidR="00D46918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m:t xml:space="preserve"> is not a normal subgroup of </m:t>
              </m:r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42399E26" w14:textId="77777777" w:rsidR="00D46918" w:rsidRDefault="00000000">
      <w:pPr>
        <w:pStyle w:val="Heading2"/>
      </w:pPr>
      <w:bookmarkStart w:id="6" w:name="question-c1.2-45-total-marks"/>
      <w:bookmarkEnd w:id="0"/>
      <w:bookmarkEnd w:id="5"/>
      <w:r>
        <w:t>Question C1.2 (</w:t>
      </w:r>
      <w:r>
        <w:rPr>
          <w:i/>
          <w:iCs/>
        </w:rPr>
        <w:t>45 total marks</w:t>
      </w:r>
      <w:r>
        <w:t>)</w:t>
      </w:r>
    </w:p>
    <w:p w14:paraId="3774EF19" w14:textId="77777777" w:rsidR="00D46918" w:rsidRDefault="00000000">
      <w:pPr>
        <w:pStyle w:val="FirstParagraph"/>
      </w:pPr>
      <w:r>
        <w:t xml:space="preserve">Considering the group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 xml:space="preserve"> of integers </w:t>
      </w:r>
      <m:oMath>
        <m:r>
          <m:rPr>
            <m:nor/>
          </m:rPr>
          <m:t xml:space="preserve">mod </m:t>
        </m:r>
        <m:r>
          <w:rPr>
            <w:rFonts w:ascii="Cambria Math" w:hAnsi="Cambria Math"/>
          </w:rPr>
          <m:t>12</m:t>
        </m:r>
      </m:oMath>
      <w:r>
        <w:t>…</w:t>
      </w:r>
    </w:p>
    <w:p w14:paraId="1C055D03" w14:textId="77777777" w:rsidR="00D46918" w:rsidRDefault="00000000">
      <w:pPr>
        <w:pStyle w:val="Heading3"/>
      </w:pPr>
      <w:bookmarkStart w:id="7" w:name="part-a-10-marks"/>
      <w:r>
        <w:t>Part A (</w:t>
      </w:r>
      <w:r>
        <w:rPr>
          <w:i/>
          <w:iCs/>
        </w:rPr>
        <w:t>10 marks</w:t>
      </w:r>
      <w:r>
        <w:t>)</w:t>
      </w:r>
    </w:p>
    <w:p w14:paraId="14CE0825" w14:textId="77777777" w:rsidR="00D46918" w:rsidRDefault="00000000">
      <w:pPr>
        <w:pStyle w:val="FirstParagraph"/>
      </w:pPr>
      <w:r>
        <w:t xml:space="preserve">To find the order of the element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4</m:t>
            </m:r>
          </m:e>
        </m:acc>
      </m:oMath>
      <w:r>
        <w:t xml:space="preserve"> in the group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>, we need to solve…</w:t>
      </w:r>
    </w:p>
    <w:p w14:paraId="3F1B34EE" w14:textId="77777777" w:rsidR="00D4691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4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0</m:t>
              </m:r>
            </m:e>
          </m:acc>
          <m:r>
            <m:rPr>
              <m:nor/>
            </m:rPr>
            <m:t xml:space="preserve"> in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4n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mod 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∴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the order is 3</m:t>
              </m:r>
            </m:e>
          </m:borderBox>
        </m:oMath>
      </m:oMathPara>
    </w:p>
    <w:p w14:paraId="11CA5EDD" w14:textId="77777777" w:rsidR="00D46918" w:rsidRDefault="00000000">
      <w:pPr>
        <w:pStyle w:val="Heading3"/>
      </w:pPr>
      <w:bookmarkStart w:id="8" w:name="part-b-20-total-marks"/>
      <w:bookmarkEnd w:id="7"/>
      <w:r>
        <w:t>Part B (</w:t>
      </w:r>
      <w:r>
        <w:rPr>
          <w:i/>
          <w:iCs/>
        </w:rPr>
        <w:t>20 total marks</w:t>
      </w:r>
      <w:r>
        <w:t>)</w:t>
      </w:r>
    </w:p>
    <w:p w14:paraId="1BA5F3F1" w14:textId="77777777" w:rsidR="00D46918" w:rsidRDefault="00000000">
      <w:pPr>
        <w:pStyle w:val="Heading4"/>
      </w:pPr>
      <w:bookmarkStart w:id="9" w:name="part-i-10-marks"/>
      <w:r>
        <w:t>Part I (10 marks)</w:t>
      </w:r>
    </w:p>
    <w:p w14:paraId="488C2C1B" w14:textId="77777777" w:rsidR="00D46918" w:rsidRDefault="00000000">
      <w:pPr>
        <w:pStyle w:val="FirstParagraph"/>
      </w:pPr>
      <w:r>
        <w:t xml:space="preserve">To find the subgroup </w:t>
      </w:r>
      <m:oMath>
        <m:r>
          <m:rPr>
            <m:sty m:val="p"/>
          </m:rPr>
          <w:rPr>
            <w:rFonts w:ascii="Cambria Math" w:hAnsi="Cambria Math"/>
          </w:rPr>
          <m:t>⟨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</m:e>
        </m:acc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 xml:space="preserve">, we compute the multiples of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</m:e>
        </m:acc>
      </m:oMath>
      <w:r>
        <w:t>:</w:t>
      </w:r>
    </w:p>
    <w:p w14:paraId="4484F38E" w14:textId="77777777" w:rsidR="00D46918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∈Z}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</m:m>
            </m:e>
          </m:borderBox>
        </m:oMath>
      </m:oMathPara>
    </w:p>
    <w:p w14:paraId="3B807011" w14:textId="77777777" w:rsidR="00D46918" w:rsidRDefault="00000000">
      <w:pPr>
        <w:pStyle w:val="Heading4"/>
      </w:pPr>
      <w:bookmarkStart w:id="10" w:name="part-ii-10-marks"/>
      <w:bookmarkEnd w:id="9"/>
      <w:r>
        <w:t>Part II (10 marks)</w:t>
      </w:r>
    </w:p>
    <w:p w14:paraId="49582214" w14:textId="77777777" w:rsidR="00D46918" w:rsidRDefault="00000000">
      <w:pPr>
        <w:pStyle w:val="FirstParagraph"/>
      </w:pPr>
      <w:r>
        <w:t xml:space="preserve">To find the subgroup </w:t>
      </w:r>
      <m:oMath>
        <m:r>
          <m:rPr>
            <m:sty m:val="p"/>
          </m:rPr>
          <w:rPr>
            <w:rFonts w:ascii="Cambria Math" w:hAnsi="Cambria Math"/>
          </w:rPr>
          <m:t>⟨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 xml:space="preserve">, we compute the multiples of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</m:oMath>
      <w:r>
        <w:t>:</w:t>
      </w:r>
    </w:p>
    <w:p w14:paraId="5520344D" w14:textId="77777777" w:rsidR="00D46918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∈Z}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</m:m>
            </m:e>
          </m:borderBox>
        </m:oMath>
      </m:oMathPara>
    </w:p>
    <w:p w14:paraId="4F836269" w14:textId="77777777" w:rsidR="00D46918" w:rsidRDefault="00000000">
      <w:pPr>
        <w:pStyle w:val="Heading3"/>
      </w:pPr>
      <w:bookmarkStart w:id="11" w:name="part-c-15-marks"/>
      <w:bookmarkEnd w:id="8"/>
      <w:bookmarkEnd w:id="10"/>
      <w:r>
        <w:t>Part C (</w:t>
      </w:r>
      <w:r>
        <w:rPr>
          <w:i/>
          <w:iCs/>
        </w:rPr>
        <w:t>15 marks</w:t>
      </w:r>
      <w:r>
        <w:t>)</w:t>
      </w:r>
    </w:p>
    <w:p w14:paraId="7E633A52" w14:textId="77777777" w:rsidR="00D46918" w:rsidRDefault="00000000">
      <w:pPr>
        <w:pStyle w:val="FirstParagraph"/>
      </w:pPr>
      <w:r>
        <w:t xml:space="preserve">We can show that the mapping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 xml:space="preserve">, given by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</m:e>
        </m:acc>
        <m:r>
          <w:rPr>
            <w:rFonts w:ascii="Cambria Math" w:hAnsi="Cambria Math"/>
          </w:rPr>
          <m:t>x</m:t>
        </m:r>
      </m:oMath>
      <w:r>
        <w:t>, is a group homomorphism by showing that it preserves the group operation:</w:t>
      </w:r>
    </w:p>
    <w:p w14:paraId="3FC1565F" w14:textId="77777777" w:rsidR="00D46918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w:rPr>
                    <w:rFonts w:ascii="Cambria Math" w:hAnsi="Cambria Math"/>
                  </w:rPr>
                  <m:t>b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nor/>
                      </m:rPr>
                      <m:t xml:space="preserve"> is a group homomorphism</m:t>
                    </m:r>
                  </m:e>
                </m:borderBox>
              </m:e>
            </m:mr>
          </m:m>
        </m:oMath>
      </m:oMathPara>
    </w:p>
    <w:p w14:paraId="771B5AA4" w14:textId="77777777" w:rsidR="00D46918" w:rsidRDefault="00000000">
      <w:pPr>
        <w:pStyle w:val="FirstParagraph"/>
      </w:pPr>
      <w:r>
        <w:t>We can then find its kernel by definition:</w:t>
      </w:r>
    </w:p>
    <w:p w14:paraId="6F714780" w14:textId="77777777" w:rsidR="00D46918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ker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≡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 xml:space="preserve"> mod 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≡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 xml:space="preserve"> mod 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={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</m:m>
            </m:e>
          </m:borderBox>
        </m:oMath>
      </m:oMathPara>
      <w:bookmarkEnd w:id="6"/>
      <w:bookmarkEnd w:id="11"/>
    </w:p>
    <w:sectPr w:rsidR="00D46918" w:rsidSect="000364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754E87" w14:textId="77777777" w:rsidR="00DF530B" w:rsidRDefault="00DF530B" w:rsidP="0003649D">
      <w:pPr>
        <w:spacing w:after="0" w:line="240" w:lineRule="auto"/>
      </w:pPr>
      <w:r>
        <w:separator/>
      </w:r>
    </w:p>
  </w:endnote>
  <w:endnote w:type="continuationSeparator" w:id="0">
    <w:p w14:paraId="14C489D5" w14:textId="77777777" w:rsidR="00DF530B" w:rsidRDefault="00DF530B" w:rsidP="00036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7A199" w14:textId="77777777" w:rsidR="0003649D" w:rsidRDefault="000364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CF2FC" w14:textId="74684264" w:rsidR="0003649D" w:rsidRPr="0003649D" w:rsidRDefault="0003649D">
    <w:pPr>
      <w:pStyle w:val="Footer"/>
      <w:rPr>
        <w:lang w:val="en-US"/>
      </w:rPr>
    </w:pPr>
    <w:r>
      <w:rPr>
        <w:lang w:val="en-US"/>
      </w:rPr>
      <w:t>William Fayers - 27378661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C829E7" w14:textId="77777777" w:rsidR="0003649D" w:rsidRDefault="00036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3E89EC" w14:textId="77777777" w:rsidR="00DF530B" w:rsidRDefault="00DF530B" w:rsidP="0003649D">
      <w:pPr>
        <w:spacing w:after="0" w:line="240" w:lineRule="auto"/>
      </w:pPr>
      <w:r>
        <w:separator/>
      </w:r>
    </w:p>
  </w:footnote>
  <w:footnote w:type="continuationSeparator" w:id="0">
    <w:p w14:paraId="3F695A9E" w14:textId="77777777" w:rsidR="00DF530B" w:rsidRDefault="00DF530B" w:rsidP="000364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BB1AE" w14:textId="77777777" w:rsidR="0003649D" w:rsidRDefault="000364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7FA56A" w14:textId="77777777" w:rsidR="0003649D" w:rsidRDefault="000364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B9061" w14:textId="77777777" w:rsidR="0003649D" w:rsidRDefault="000364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D8C807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70CD2DE"/>
    <w:multiLevelType w:val="multilevel"/>
    <w:tmpl w:val="0A3A96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26231186">
    <w:abstractNumId w:val="1"/>
  </w:num>
  <w:num w:numId="2" w16cid:durableId="5540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11166"/>
    <w:rsid w:val="00023659"/>
    <w:rsid w:val="0003649D"/>
    <w:rsid w:val="001C378F"/>
    <w:rsid w:val="001D1BFF"/>
    <w:rsid w:val="002014DE"/>
    <w:rsid w:val="00252D88"/>
    <w:rsid w:val="002C3971"/>
    <w:rsid w:val="002F73AE"/>
    <w:rsid w:val="003B6682"/>
    <w:rsid w:val="003B66F5"/>
    <w:rsid w:val="006565A9"/>
    <w:rsid w:val="006A057D"/>
    <w:rsid w:val="006C5FBA"/>
    <w:rsid w:val="007057E4"/>
    <w:rsid w:val="007417AD"/>
    <w:rsid w:val="00761B46"/>
    <w:rsid w:val="007833A6"/>
    <w:rsid w:val="007E0FFB"/>
    <w:rsid w:val="00807440"/>
    <w:rsid w:val="00836BB9"/>
    <w:rsid w:val="0085709B"/>
    <w:rsid w:val="00972977"/>
    <w:rsid w:val="00973309"/>
    <w:rsid w:val="00A11A05"/>
    <w:rsid w:val="00A80BD0"/>
    <w:rsid w:val="00A833C9"/>
    <w:rsid w:val="00B34F4D"/>
    <w:rsid w:val="00B606A4"/>
    <w:rsid w:val="00B8283B"/>
    <w:rsid w:val="00BA2A90"/>
    <w:rsid w:val="00BC6F5D"/>
    <w:rsid w:val="00BC739E"/>
    <w:rsid w:val="00BD5A2E"/>
    <w:rsid w:val="00BE73A0"/>
    <w:rsid w:val="00C32BC7"/>
    <w:rsid w:val="00C646AA"/>
    <w:rsid w:val="00C75032"/>
    <w:rsid w:val="00C871EE"/>
    <w:rsid w:val="00D20784"/>
    <w:rsid w:val="00D30B21"/>
    <w:rsid w:val="00D46918"/>
    <w:rsid w:val="00D776B0"/>
    <w:rsid w:val="00D81268"/>
    <w:rsid w:val="00DF530B"/>
    <w:rsid w:val="00E36E71"/>
    <w:rsid w:val="00E90683"/>
    <w:rsid w:val="00EF368A"/>
    <w:rsid w:val="00F941CB"/>
    <w:rsid w:val="00FD20A6"/>
    <w:rsid w:val="00FD4D94"/>
    <w:rsid w:val="00FE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."/>
  <w:listSeparator w:val=","/>
  <w14:docId w14:val="0E2AC0D3"/>
  <w15:docId w15:val="{70B5BCEE-EE30-4622-AC8E-6ECCA7D4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1A05"/>
  </w:style>
  <w:style w:type="paragraph" w:styleId="Heading1">
    <w:name w:val="heading 1"/>
    <w:basedOn w:val="Normal"/>
    <w:next w:val="Normal"/>
    <w:link w:val="Heading1Char"/>
    <w:uiPriority w:val="9"/>
    <w:qFormat/>
    <w:rsid w:val="0085709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09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09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09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570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570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570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570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5709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11A05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5709B"/>
    <w:pPr>
      <w:pBdr>
        <w:top w:val="single" w:sz="6" w:space="8" w:color="E7BC29" w:themeColor="accent3"/>
        <w:bottom w:val="single" w:sz="6" w:space="8" w:color="E7BC2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4D26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09B"/>
    <w:pPr>
      <w:numPr>
        <w:ilvl w:val="1"/>
      </w:numPr>
      <w:jc w:val="center"/>
    </w:pPr>
    <w:rPr>
      <w:color w:val="444D26" w:themeColor="text2"/>
      <w:sz w:val="28"/>
      <w:szCs w:val="28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709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04040" w:themeColor="text1" w:themeTint="BF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404040" w:themeColor="text1" w:themeTint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404040" w:themeColor="text1" w:themeTint="BF"/>
      <w:sz w:val="16"/>
      <w:szCs w:val="16"/>
      <w:vertAlign w:val="superscript"/>
    </w:rPr>
  </w:style>
  <w:style w:type="character" w:styleId="Hyperlink">
    <w:name w:val="Hyperlink"/>
    <w:basedOn w:val="CaptionChar"/>
    <w:rsid w:val="002F73AE"/>
    <w:rPr>
      <w:b/>
      <w:bCs/>
      <w:color w:val="auto"/>
      <w:sz w:val="21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5709B"/>
    <w:pPr>
      <w:outlineLvl w:val="9"/>
    </w:pPr>
  </w:style>
  <w:style w:type="character" w:customStyle="1" w:styleId="Heading1Char">
    <w:name w:val="Heading 1 Char"/>
    <w:basedOn w:val="DefaultParagraphFont"/>
    <w:link w:val="Heading1"/>
    <w:uiPriority w:val="9"/>
    <w:rsid w:val="0085709B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709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709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5709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85709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5709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85709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5709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85709B"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85709B"/>
    <w:rPr>
      <w:rFonts w:asciiTheme="majorHAnsi" w:eastAsiaTheme="majorEastAsia" w:hAnsiTheme="majorHAnsi" w:cstheme="majorBidi"/>
      <w:caps/>
      <w:color w:val="444D26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85709B"/>
    <w:rPr>
      <w:color w:val="444D26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85709B"/>
    <w:rPr>
      <w:b/>
      <w:bCs/>
    </w:rPr>
  </w:style>
  <w:style w:type="character" w:styleId="Emphasis">
    <w:name w:val="Emphasis"/>
    <w:basedOn w:val="DefaultParagraphFont"/>
    <w:uiPriority w:val="20"/>
    <w:qFormat/>
    <w:rsid w:val="0085709B"/>
    <w:rPr>
      <w:i/>
      <w:iCs/>
      <w:color w:val="000000" w:themeColor="text1"/>
    </w:rPr>
  </w:style>
  <w:style w:type="paragraph" w:styleId="NoSpacing">
    <w:name w:val="No Spacing"/>
    <w:uiPriority w:val="1"/>
    <w:qFormat/>
    <w:rsid w:val="0085709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09B"/>
    <w:pPr>
      <w:spacing w:before="160"/>
      <w:ind w:left="720" w:right="720"/>
      <w:jc w:val="center"/>
    </w:pPr>
    <w:rPr>
      <w:i/>
      <w:iCs/>
      <w:color w:val="B79214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09B"/>
    <w:rPr>
      <w:i/>
      <w:iCs/>
      <w:color w:val="B79214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09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7C9163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09B"/>
    <w:rPr>
      <w:rFonts w:asciiTheme="majorHAnsi" w:eastAsiaTheme="majorEastAsia" w:hAnsiTheme="majorHAnsi" w:cstheme="majorBidi"/>
      <w:caps/>
      <w:color w:val="7C9163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09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709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5709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09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5709B"/>
    <w:rPr>
      <w:b/>
      <w:bCs/>
      <w:caps w:val="0"/>
      <w:smallCaps/>
      <w:spacing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404040" w:themeColor="text1" w:themeTint="BF"/>
      <w:sz w:val="22"/>
      <w:szCs w:val="16"/>
    </w:rPr>
  </w:style>
  <w:style w:type="paragraph" w:styleId="Header">
    <w:name w:val="header"/>
    <w:basedOn w:val="Normal"/>
    <w:link w:val="HeaderChar"/>
    <w:unhideWhenUsed/>
    <w:rsid w:val="000364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3649D"/>
  </w:style>
  <w:style w:type="paragraph" w:styleId="Footer">
    <w:name w:val="footer"/>
    <w:basedOn w:val="Normal"/>
    <w:link w:val="FooterChar"/>
    <w:unhideWhenUsed/>
    <w:rsid w:val="000364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36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William Fayers (27378661)</cp:lastModifiedBy>
  <cp:revision>2</cp:revision>
  <dcterms:created xsi:type="dcterms:W3CDTF">2024-10-27T22:37:00Z</dcterms:created>
  <dcterms:modified xsi:type="dcterms:W3CDTF">2024-10-27T22:39:00Z</dcterms:modified>
</cp:coreProperties>
</file>