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X7a2aa2a473ee16a065dd04226ec64373e219454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Xa0d52c91b7220e06fb3b9f0ddc0b2301924a8cd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X195c6101b68aae90f736e8d8b3cf5815e760ed7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Xa7b75ffd39657bfa568e6b2812a6c3ebbc59523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1. 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1. 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1. Basic Use: Pascals Triangle</w:t>
      </w:r>
      <w:bookmarkEnd w:id="27"/>
    </w:p>
    <w:p>
      <w:pPr>
        <w:pStyle w:val="Heading4"/>
      </w:pPr>
      <w:bookmarkStart w:id="28" w:name="task-1.1-1"/>
      <w:r>
        <w:t xml:space="preserve">Task 1.1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Triangle:</w:t>
      </w:r>
      <w:r>
        <w:t xml:space="preserve"> </w:t>
      </w:r>
      <w:r>
        <w:rPr>
          <w:rStyle w:val="VerbatimChar"/>
        </w:rPr>
        <w:t xml:space="preserve">n                                  Pascal's Triangle up to n=5 0                                               1 1                                       1               1 2                               1               2               1 3                       1               3               3               1 4               1               4               6               4               1 5       1               5               10              10              5               1 Made by William Fayers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1. 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2024-10-07T14:28:05Z</dcterms:created>
  <dcterms:modified xsi:type="dcterms:W3CDTF">2024-10-07T14:28:05Z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