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智能体数据飞轮 Skill 设计与原理</w:t>
      </w:r>
    </w:p>
    <w:p>
      <w:pPr>
        <w:pStyle w:val="Subtitle"/>
      </w:pPr>
      <w:r>
        <w:t>2026年10月15日  本地完整交付版</w:t>
      </w:r>
    </w:p>
    <w:p>
      <w:pPr>
        <w:pStyle w:val="Heading1"/>
      </w:pPr>
      <w:r>
        <w:t>1 目标与交付边界</w:t>
      </w:r>
    </w:p>
    <w:p>
      <w:r>
        <w:t>本设计面向智能体产品、研发与运营人员，将分散的用户反馈、安全护栏、对话详情和推理日志转成可复核的分析底表、AI 语义评审与离线看板。核心目标是回答：数据覆盖了什么，哪些问题值得核验，判断依赖什么证据，下一步应补数据还是改产品。</w:t>
      </w:r>
    </w:p>
    <w:p>
      <w:r>
        <w:t>当前完整版本已实现本地文件解析、确定性统计、评审批次生成、评审校验汇总和静态界面生成。Python 3.9 及以上即可运行核心脚本，无第三方 Python 依赖、前端构建或模型 API 配置。语义评审由读取 Skill 的 AI 助手执行；单独运行脚本不会自动调用 AI，也不会自动训练模型、更新知识库或发布策略。离线能力指本地脚本和生成页面，AI 助手是否使用联网服务由外部执行环境决定。</w:t>
      </w:r>
    </w:p>
    <w:p>
      <w:r>
        <w:t>本版本可复用的是分析方法与产物契约。它尚不是持续采集、多人协作和自动优化的运营平台，“完整版本”也不表示已拥有四份全量原始日志。</w:t>
      </w:r>
    </w:p>
    <w:p>
      <w:pPr>
        <w:pStyle w:val="Heading1"/>
      </w:pPr>
      <w:r>
        <w:t>2 Skill 的组成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shd w:fill="153B56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组成</w:t>
            </w:r>
          </w:p>
        </w:tc>
        <w:tc>
          <w:tcPr>
            <w:tcW w:type="dxa" w:w="6984"/>
            <w:vAlign w:val="center"/>
            <w:shd w:fill="153B56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SKILL.md、README.md</w:t>
            </w:r>
          </w:p>
        </w:tc>
        <w:tc>
          <w:tcPr>
            <w:tcW w:type="dxa" w:w="698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定义任务入口、处理步骤、使用方法和判断边界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两份原始字段文档</w:t>
            </w:r>
          </w:p>
        </w:tc>
        <w:tc>
          <w:tcPr>
            <w:tcW w:type="dxa" w:w="6984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保存字段含义、运营摘要及实例上下文，支持回查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references</w:t>
            </w:r>
          </w:p>
        </w:tc>
        <w:tc>
          <w:tcPr>
            <w:tcW w:type="dxa" w:w="698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定义字段关联、评审标准、JSON 契约与空能力模板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analyze.py</w:t>
            </w:r>
          </w:p>
        </w:tc>
        <w:tc>
          <w:tcPr>
            <w:tcW w:type="dxa" w:w="6984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解析、去重、提取证据，生成确定性分析底表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prepare_review.py</w:t>
            </w:r>
          </w:p>
        </w:tc>
        <w:tc>
          <w:tcPr>
            <w:tcW w:type="dxa" w:w="698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选择记录、绑定能力材料，生成可分批评审的输入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merge_reviews.py、review_common.py</w:t>
            </w:r>
          </w:p>
        </w:tc>
        <w:tc>
          <w:tcPr>
            <w:tcW w:type="dxa" w:w="6984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检查标签、证据与指纹，汇总评审指标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render_dashboard.py、assets</w:t>
            </w:r>
          </w:p>
        </w:tc>
        <w:tc>
          <w:tcPr>
            <w:tcW w:type="dxa" w:w="698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将分析包填入自包含 HTML 模板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examples、tests</w:t>
            </w:r>
          </w:p>
        </w:tc>
        <w:tc>
          <w:tcPr>
            <w:tcW w:type="dxa" w:w="6984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提供固定示例和解析、证据约束、界面状态测试</w:t>
            </w:r>
          </w:p>
        </w:tc>
      </w:tr>
    </w:tbl>
    <w:p>
      <w:pPr>
        <w:spacing w:after="20"/>
      </w:pPr>
    </w:p>
    <w:p>
      <w:r>
        <w:t>结构将数据处理、业务判定和展示分开。新增指标时应先确定数据来源和分母，再调整脚本与契约；新增语义类别时应先明确评审依据，不能仅在界面增加一个数字。</w:t>
      </w:r>
    </w:p>
    <w:p>
      <w:pPr>
        <w:pStyle w:val="Heading1"/>
      </w:pPr>
      <w:r>
        <w:t>3 四类来源与统计分母</w:t>
      </w:r>
    </w:p>
    <w:p>
      <w:r>
        <w:t>四类文件代表不同事件，数量既不相等，也不能顺次组成转化漏斗。即使使用同一个项目和时间范围，也不代表这些记录属于同一批业务问题。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664"/>
        <w:gridCol w:w="6264"/>
      </w:tblGrid>
      <w:tr>
        <w:trPr>
          <w:cantSplit/>
          <w:tblHeader/>
        </w:trPr>
        <w:tc>
          <w:tcPr>
            <w:tcW w:type="dxa" w:w="1296"/>
            <w:vAlign w:val="center"/>
            <w:shd w:fill="153B56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2664"/>
            <w:vAlign w:val="center"/>
            <w:shd w:fill="153B56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主要价值</w:t>
            </w:r>
          </w:p>
        </w:tc>
        <w:tc>
          <w:tcPr>
            <w:tcW w:type="dxa" w:w="6264"/>
            <w:vAlign w:val="center"/>
            <w:shd w:fill="153B56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计数与分母边界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用户反馈</w:t>
            </w:r>
          </w:p>
        </w:tc>
        <w:tc>
          <w:tcPr>
            <w:tcW w:type="dxa" w:w="266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评价、原因和人工标记</w:t>
            </w:r>
          </w:p>
        </w:tc>
        <w:tc>
          <w:tcPr>
            <w:tcW w:type="dxa" w:w="626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差评率分母仅含 -1、3；0 是未评价。chatId 不是反馈事件唯一键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安全护栏</w:t>
            </w:r>
          </w:p>
        </w:tc>
        <w:tc>
          <w:tcPr>
            <w:tcW w:type="dxa" w:w="2664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合规判断、跳过项和检查耗时</w:t>
            </w:r>
          </w:p>
        </w:tc>
        <w:tc>
          <w:tcPr>
            <w:tcW w:type="dxa" w:w="6264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请求级分母是有效检查请求；问题级分母是有效检查结果，一请求可含多问题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对话详情</w:t>
            </w:r>
          </w:p>
        </w:tc>
        <w:tc>
          <w:tcPr>
            <w:tcW w:type="dxa" w:w="266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问题、回答节点、场景与业务耗时</w:t>
            </w:r>
          </w:p>
        </w:tc>
        <w:tc>
          <w:tcPr>
            <w:tcW w:type="dxa" w:w="6264"/>
            <w:vAlign w:val="center"/>
            <w:shd w:fill="FFFFFF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detail.id 计独立对话记录，conversationId 计会话（不证明实际发生多轮交互），节点数另计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推理请求</w:t>
            </w:r>
          </w:p>
        </w:tc>
        <w:tc>
          <w:tcPr>
            <w:tcW w:type="dxa" w:w="2664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模型、生成格式、延迟与路由差异</w:t>
            </w:r>
          </w:p>
        </w:tc>
        <w:tc>
          <w:tcPr>
            <w:tcW w:type="dxa" w:w="6264"/>
            <w:vAlign w:val="center"/>
            <w:shd w:fill="F0F5F8"/>
            <w:tcMar>
              <w:top w:w="65" w:type="dxa"/>
              <w:bottom w:w="6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以推理请求为单位；流式 chunk 数不是 token 数，更不是独立问题数</w:t>
            </w:r>
          </w:p>
        </w:tc>
      </w:tr>
    </w:tbl>
    <w:p>
      <w:pPr>
        <w:spacing w:after="20"/>
      </w:pPr>
    </w:p>
    <w:p>
      <w:r>
        <w:t>原始导入中，反馈仅合并完全相同的重复记录，保留同一对话的多次反馈。网关日志按来源内 requestId 去重；对话的重复 detail.id 快照再保留最新业务快照，避免重复扩大分母。缺失标识的记录保留定位与异常说明，不伪造业务身份。</w:t>
      </w:r>
    </w:p>
    <w:p>
      <w:r>
        <w:t>具体字段也要区分：sources.dialogue.records 是去重网关日志数，指标 dialogue_records 是有有效 detail.id 的业务记录数。节点数和业务耗时计算还可能纳入缺少业务 ID 的详情，两者不能统称为同一有效业务分母。看板呈现和后续报表都需沿用各指标的原始口径。</w:t>
      </w:r>
    </w:p>
    <w:p>
      <w:r>
        <w:t>当前只有反馈 chatId 与对话 detail.id 可以确定关联。护栏和推理的 requestId 不能跨来源强行连接；对话内嵌结果则作为对话自身证据。仅接入关联一侧时，关联覆盖率保持空值。比率保留分子、分母、来源和说明，零分母不显示成 0%。</w:t>
      </w:r>
    </w:p>
    <w:p>
      <w:pPr>
        <w:pStyle w:val="Heading1"/>
      </w:pPr>
      <w:r>
        <w:t>4 五阶段数据流</w:t>
      </w:r>
    </w:p>
    <w:p>
      <w:pPr>
        <w:pStyle w:val="Heading2"/>
      </w:pPr>
      <w:r>
        <w:t>4.1 生成分析底表</w:t>
      </w:r>
    </w:p>
    <w:p>
      <w:r>
        <w:t>analyze.py 接受四类 JSON 对象数组，也支持只提供部分来源。脚本分层解析 body、detail、question，保留 answers.data 原文及节点属性作为证据，提取问题、回答、信号及来源定位。当前不结构化解析 PIU 内部结果，也不检查该层 JSON 格式。已解析层的结构错误会形成质量问题。</w:t>
      </w:r>
    </w:p>
    <w:p>
      <w:r>
        <w:t>推理响应按拒绝、SSE、普通 JSON 等格式互斥分类。SSE 仅在同一请求内按生成 ID 和 choice index 拼接；保留截断或畸形片段的说明。对话节点按时间整理，不在第一次 END 时截断。最终输出 analysis.json，包含来源、指标、分布、规范化记录和质量问题。</w:t>
      </w:r>
    </w:p>
    <w:p>
      <w:pPr>
        <w:pStyle w:val="Heading2"/>
      </w:pPr>
      <w:r>
        <w:t>4.2 准备评审批次</w:t>
      </w:r>
    </w:p>
    <w:p>
      <w:r>
        <w:t>prepare_review.py 默认选择有问题文本的对话与未关联反馈，避免把同一对话的关联反馈再算一次独立问题。护栏、推理可显式选择为专项评审来源。批次含记录、证据与能力材料；manifest 记录选择范围、样本量、文件列表和指纹。抽样只改变待评审范围，不代表完成全量评审。</w:t>
      </w:r>
    </w:p>
    <w:p>
      <w:r>
        <w:t>当前 --limit 取符合条件的前若干条，并非随机抽样。选择顺序可能带来偏差；若要估计整体分布，需要另行制定按产品、时间和业务场景分层的样本方案，不能把前若干条直接称为有代表性的评测集。</w:t>
      </w:r>
    </w:p>
    <w:p>
      <w:pPr>
        <w:pStyle w:val="Heading2"/>
      </w:pPr>
      <w:r>
        <w:t>4.3 AI 逐条语义评审</w:t>
      </w:r>
    </w:p>
    <w:p>
      <w:r>
        <w:t>AI 阅读批次和判定标准，写入 ai_reviews.json。每条判定需要原因、证据引用、置信度和建议行动。低置信度、回答不完整或能力未知时保留不确定性。并行批次分别产出文件，随后统一校验；不复制上一批标签来填满当前记录。</w:t>
      </w:r>
    </w:p>
    <w:p>
      <w:pPr>
        <w:pStyle w:val="Heading2"/>
      </w:pPr>
      <w:r>
        <w:t>4.4 校验与汇总</w:t>
      </w:r>
    </w:p>
    <w:p>
      <w:r>
        <w:t>merge_reviews.py 检查记录是否存在、是否重复、枚举是否合法、证据引用是否属于当前记录，以及能力和评测依据是否匹配。它只对校验通过的评审汇总有效问题、不支持问数和 BadCase 等指标，并按来源报告覆盖。空评审状态为 not_run，不能展示成 AI 已评审且各类问题均为零。</w:t>
      </w:r>
    </w:p>
    <w:p>
      <w:pPr>
        <w:pStyle w:val="Heading2"/>
      </w:pPr>
      <w:r>
        <w:t>4.5 生成界面与结论</w:t>
      </w:r>
    </w:p>
    <w:p>
      <w:r>
        <w:t>render_dashboard.py 读取底表或已合并报告，生成可离线打开的 HTML。渲染已评审报告时重新核验绑定材料并计算指标。最终交付不仅包括看板，还应说明样本范围、代表性问题、证据、不确定内容和下一步建议。</w:t>
      </w:r>
    </w:p>
    <w:p>
      <w:pPr>
        <w:pStyle w:val="Heading1"/>
      </w:pPr>
      <w:r>
        <w:t>5 AI 评审的独立维度</w:t>
      </w:r>
    </w:p>
    <w:p>
      <w:r>
        <w:t>有效性描述问题是否具有可理解的诉求；意图描述数据查询、诊断、知识、报告或交流等业务目的，允许多选。有效问题不等于产品能够处理，问数也不能靠是否出现 SQL 关键词决定。</w:t>
      </w:r>
    </w:p>
    <w:p>
      <w:r>
        <w:t>能力支持单独区分支持、不支持、部分支持、未知和不适用。只有当前能力规则足以支持结论时才能确定标签。“回答说不支持”只是观察信号；规则没有列出某项能力，也不等于产品不支持。</w:t>
      </w:r>
    </w:p>
    <w:p>
      <w:r>
        <w:t>“已确认不支持的问数”须同时满足 validity=valid、intent 含 data_query、support=unsupported。部分支持单列，能力未知不混入不支持数量。当前确认数量为零，只能说明已评审范围没有足够依据确认，不能解释为产品全部支持。</w:t>
      </w:r>
    </w:p>
    <w:p>
      <w:r>
        <w:t>例如，用户提出跨项目统计是一个可理解的问数诉求；只有使用者提供的规则明确限制跨项目统计时，才能确认该问题不受支持。没有规则时，即使回答拒绝处理，也应保留支持范围未知。这个区分能避免把产品能力缺口、错误拒绝和资料缺失混成同一类问题。</w:t>
      </w:r>
    </w:p>
    <w:p>
      <w:r>
        <w:t>正确性独立区分正确、错误、待评测和不适用。BadCase 则区分确认、候选、未观察到和不确定。差评可成为候选；确认 BadCase 还需要绑定当前记录的错误评测依据。策略、RAG、模型、数据、产品能力缺口或安全归因，是待复核的解释，不由关键词自动确定最终根因。</w:t>
      </w:r>
    </w:p>
    <w:p>
      <w:pPr>
        <w:pStyle w:val="Heading1"/>
      </w:pPr>
      <w:r>
        <w:t>6 三层依据与指纹绑定</w:t>
      </w:r>
    </w:p>
    <w:p>
      <w:r>
        <w:t>第一层是日志证据。每个 evidence 保留唯一 ID、字段路径和摘录；raw_locator 指向文件及位置，支持回看上下文。默认摘录有长度上限，内容缺失或截断仅表示证据不足，不能单凭此判定失败。</w:t>
      </w:r>
    </w:p>
    <w:p>
      <w:r>
        <w:t>第二层是能力规则。capabilities.json 的 rules 由使用者提供已确认范围、限制及来源。确定支持或不支持必须引用现有规则，且规则状态与标签匹配。空模板意味着没有已确认能力，AI 不得自行补造产品承诺。</w:t>
      </w:r>
    </w:p>
    <w:p>
      <w:r>
        <w:t>第三层是正确性依据。evaluations 保存人工标签或参考答案，并绑定 record_id、结论和来源。正确性标签须与引用一致；准确率的分母仅含具有使用者评测依据的已评测条目，没有这些依据时保持空值。AI 置信度表示自身判断把握，不能当作真实准确率。</w:t>
      </w:r>
    </w:p>
    <w:p>
      <w:r>
        <w:t>analysis_fingerprint 与 capabilities_fingerprint 使用确定性 JSON 的 SHA-256 指纹绑定底表和能力材料。数据、材料或版本发生变化后，旧评审会被拒绝，必须重新评审。双指纹属于内容一致性检查，不是数字签名或真实性证明；脚本也不能代替人判断证据是否充分。</w:t>
      </w:r>
    </w:p>
    <w:p>
      <w:pPr>
        <w:pStyle w:val="Heading1"/>
      </w:pPr>
      <w:r>
        <w:t>7 当前文档快照的边界</w:t>
      </w:r>
    </w:p>
    <w:p>
      <w:r>
        <w:t>完整版本保留两份原始字段文档。内置快照中的反馈 42 条、护栏 3,280 条、对话 468 条、推理 16,201 条均为文档报告值，未通过全量原始 JSON 重新计算。它们可以并列展示，不能合计为总问题量或成功转化漏斗。</w:t>
      </w:r>
    </w:p>
    <w:p>
      <w:r>
        <w:t>可浏览明细仅有四条真实实例摘录，各来自一个来源。四条评审只能解释这些实例，不能推算全部对话的有效率、支持率或错误率。单条诊断与推理实例的耗时也不能代替全量均值或 P95。</w:t>
      </w:r>
    </w:p>
    <w:p>
      <w:r>
        <w:t>文档报告的反馈与对话匹配仅一条，反馈原因也仅一条有值，体现了关联和归因材料的缺口。响应格式数量不闭合、用户类型描述冲突、外壳时间与业务时间不一致等内容作为待核验问题保留，不擅自修正文档数字。没有原始数据时不生成日期趋势或真实效果指标。</w:t>
      </w:r>
    </w:p>
    <w:p>
      <w:pPr>
        <w:pStyle w:val="Heading1"/>
      </w:pPr>
      <w:r>
        <w:t>8 静态看板原理</w:t>
      </w:r>
    </w:p>
    <w:p>
      <w:r>
        <w:t>模板在 application/json 数据节点保留唯一占位符，由 Python 将 analysis 与 review 分区嵌入。数据中的特殊字符被转义，记录内容通过 textContent 显示，不作为 HTML 或脚本执行。页面自带样式与交互，不依赖 CDN、服务端数据库或运行时联网。</w:t>
      </w:r>
    </w:p>
    <w:p>
      <w:r>
        <w:t>总览采用六张卡片：数据资产覆盖、AI 问题分析、场景与性能，以及紫色策略、绿色 RAG、橙色模型区域。问题分析支持搜索、来源与判定筛选、分页和证据侧栏；数据健康展示来源状态、解析问题与指标口径。</w:t>
      </w:r>
    </w:p>
    <w:p>
      <w:r>
        <w:t>明细筛选只作用于实际提供的记录，不重算文档汇总。AI 指标仅在评审完成且存在条目时显示；未知结果为空态。载入纯 analysis 会清空旧评审。浏览器载入用于查看产物，正式证据校验仍须经过合并与渲染脚本。看板展示优化方向，尚未管理真实修复和发布任务。</w:t>
      </w:r>
    </w:p>
    <w:p>
      <w:r>
        <w:t>把数据与页面封装在同一文件中，便于传递、留存和复查，也意味着明细增多会扩大文件体积。本版本适合批次分析；大规模持续运营应评估内存、加载速度、权限和共享需求，再考虑后端存储与分页接口，不能把静态页面等同于实时数据平台。</w:t>
      </w:r>
    </w:p>
    <w:p>
      <w:pPr>
        <w:pStyle w:val="Heading1"/>
        <w:pageBreakBefore/>
      </w:pPr>
      <w:r>
        <w:t>9 运行与复现</w:t>
      </w:r>
    </w:p>
    <w:p>
      <w:r>
        <w:t>在完整 Skill 目录执行以下命令，可复现绑定固定底表的既有实例评审：</w:t>
      </w:r>
    </w:p>
    <w:p>
      <w:pPr>
        <w:keepNext/>
        <w:spacing w:after="0" w:line="240" w:lineRule="auto"/>
      </w:pPr>
      <w:r>
        <w:rPr>
          <w:rFonts w:ascii="Courier New" w:hAnsi="Courier New"/>
          <w:sz w:val="19"/>
        </w:rPr>
        <w:t>python3 scripts/merge_reviews.py \</w:t>
      </w:r>
    </w:p>
    <w:p>
      <w:pPr>
        <w:keepNext/>
        <w:spacing w:after="0" w:line="240" w:lineRule="auto"/>
      </w:pPr>
      <w:r>
        <w:rPr>
          <w:rFonts w:ascii="Courier New" w:hAnsi="Courier New"/>
          <w:sz w:val="19"/>
        </w:rPr>
        <w:t xml:space="preserve">  --analysis examples/analysis.json \</w:t>
      </w:r>
    </w:p>
    <w:p>
      <w:pPr>
        <w:keepNext/>
        <w:spacing w:after="0" w:line="240" w:lineRule="auto"/>
      </w:pPr>
      <w:r>
        <w:rPr>
          <w:rFonts w:ascii="Courier New" w:hAnsi="Courier New"/>
          <w:sz w:val="19"/>
        </w:rPr>
        <w:t xml:space="preserve">  --reviews examples/ai_reviews.json \</w:t>
      </w:r>
    </w:p>
    <w:p>
      <w:pPr>
        <w:keepNext/>
        <w:spacing w:after="0" w:line="240" w:lineRule="auto"/>
      </w:pPr>
      <w:r>
        <w:rPr>
          <w:rFonts w:ascii="Courier New" w:hAnsi="Courier New"/>
          <w:sz w:val="19"/>
        </w:rPr>
        <w:t xml:space="preserve">  --capabilities references/capabilities.empty.json \</w:t>
      </w:r>
    </w:p>
    <w:p>
      <w:pPr>
        <w:keepNext/>
        <w:spacing w:after="0" w:line="240" w:lineRule="auto"/>
      </w:pPr>
      <w:r>
        <w:rPr>
          <w:rFonts w:ascii="Courier New" w:hAnsi="Courier New"/>
          <w:sz w:val="19"/>
        </w:rPr>
        <w:t xml:space="preserve">  --out output/reviewed_analysis.json</w:t>
      </w:r>
    </w:p>
    <w:p>
      <w:pPr>
        <w:keepNext/>
        <w:spacing w:after="0" w:line="240" w:lineRule="auto"/>
      </w:pPr>
      <w:r>
        <w:rPr>
          <w:rFonts w:ascii="Courier New" w:hAnsi="Courier New"/>
          <w:sz w:val="19"/>
        </w:rPr>
        <w:t>python3 scripts/render_dashboard.py \</w:t>
      </w:r>
    </w:p>
    <w:p>
      <w:pPr>
        <w:keepNext/>
        <w:spacing w:after="0" w:line="240" w:lineRule="auto"/>
      </w:pPr>
      <w:r>
        <w:rPr>
          <w:rFonts w:ascii="Courier New" w:hAnsi="Courier New"/>
          <w:sz w:val="19"/>
        </w:rPr>
        <w:t xml:space="preserve">  --report output/reviewed_analysis.json \</w:t>
      </w:r>
    </w:p>
    <w:p>
      <w:pPr>
        <w:keepNext w:val="0"/>
        <w:spacing w:after="0" w:line="240" w:lineRule="auto"/>
      </w:pPr>
      <w:r>
        <w:rPr>
          <w:rFonts w:ascii="Courier New" w:hAnsi="Courier New"/>
          <w:sz w:val="19"/>
        </w:rPr>
        <w:t xml:space="preserve">  --out output/dashboard.html</w:t>
      </w:r>
    </w:p>
    <w:p>
      <w:pPr>
        <w:spacing w:after="40"/>
      </w:pPr>
    </w:p>
    <w:p>
      <w:r>
        <w:t>分析新文件时，先执行底表与批次生成，再由 AI 阅读批次、写入新的评审文件，最后合并并渲染：</w:t>
      </w:r>
    </w:p>
    <w:p>
      <w:pPr>
        <w:keepNext/>
        <w:spacing w:after="0" w:line="240" w:lineRule="auto"/>
      </w:pPr>
      <w:r>
        <w:rPr>
          <w:rFonts w:ascii="Courier New" w:hAnsi="Courier New"/>
          <w:sz w:val="19"/>
        </w:rPr>
        <w:t>python3 scripts/analyze.py \</w:t>
      </w:r>
    </w:p>
    <w:p>
      <w:pPr>
        <w:keepNext/>
        <w:spacing w:after="0" w:line="240" w:lineRule="auto"/>
      </w:pPr>
      <w:r>
        <w:rPr>
          <w:rFonts w:ascii="Courier New" w:hAnsi="Courier New"/>
          <w:sz w:val="19"/>
        </w:rPr>
        <w:t xml:space="preserve">  --input-dir data \</w:t>
      </w:r>
    </w:p>
    <w:p>
      <w:pPr>
        <w:keepNext/>
        <w:spacing w:after="0" w:line="240" w:lineRule="auto"/>
      </w:pPr>
      <w:r>
        <w:rPr>
          <w:rFonts w:ascii="Courier New" w:hAnsi="Courier New"/>
          <w:sz w:val="19"/>
        </w:rPr>
        <w:t xml:space="preserve">  --out output</w:t>
      </w:r>
    </w:p>
    <w:p>
      <w:pPr>
        <w:keepNext/>
        <w:spacing w:after="0" w:line="240" w:lineRule="auto"/>
      </w:pPr>
      <w:r>
        <w:rPr>
          <w:rFonts w:ascii="Courier New" w:hAnsi="Courier New"/>
          <w:sz w:val="19"/>
        </w:rPr>
        <w:t>python3 scripts/prepare_review.py \</w:t>
      </w:r>
    </w:p>
    <w:p>
      <w:pPr>
        <w:keepNext/>
        <w:spacing w:after="0" w:line="240" w:lineRule="auto"/>
      </w:pPr>
      <w:r>
        <w:rPr>
          <w:rFonts w:ascii="Courier New" w:hAnsi="Courier New"/>
          <w:sz w:val="19"/>
        </w:rPr>
        <w:t xml:space="preserve">  --analysis output/analysis.json \</w:t>
      </w:r>
    </w:p>
    <w:p>
      <w:pPr>
        <w:keepNext/>
        <w:spacing w:after="0" w:line="240" w:lineRule="auto"/>
      </w:pPr>
      <w:r>
        <w:rPr>
          <w:rFonts w:ascii="Courier New" w:hAnsi="Courier New"/>
          <w:sz w:val="19"/>
        </w:rPr>
        <w:t xml:space="preserve">  --capabilities capabilities.json \</w:t>
      </w:r>
    </w:p>
    <w:p>
      <w:pPr>
        <w:keepNext w:val="0"/>
        <w:spacing w:after="0" w:line="240" w:lineRule="auto"/>
      </w:pPr>
      <w:r>
        <w:rPr>
          <w:rFonts w:ascii="Courier New" w:hAnsi="Courier New"/>
          <w:sz w:val="19"/>
        </w:rPr>
        <w:t xml:space="preserve">  --out output/review-batches</w:t>
      </w:r>
    </w:p>
    <w:p>
      <w:pPr>
        <w:spacing w:after="40"/>
      </w:pPr>
    </w:p>
    <w:p>
      <w:r>
        <w:t>没有能力资料时使用 references/capabilities.empty.json；新一轮快照可用 --snapshot，但不能直接套用旧示例评审，因为底表指纹已变化。只需确定性统计时，可用 render_dashboard.py 的 --analysis 生成未评审版。核心验证命令为 python3 -m unittest discover -s tests。</w:t>
      </w:r>
    </w:p>
    <w:p>
      <w:pPr>
        <w:pStyle w:val="Heading1"/>
      </w:pPr>
      <w:r>
        <w:t>10 完整运营闭环的后续扩展</w:t>
      </w:r>
    </w:p>
    <w:p>
      <w:r>
        <w:t>下一步需要补统一 traceId/chatId、检索 query 与文档版本、引用得分、Prompt 与策略版本、模型 usage，以及人工评测依据。关联完善后才能研究跨环节耗时、RAG 效果和优化归因，不能仅靠现有独立日志承诺效果提升。</w:t>
      </w:r>
    </w:p>
    <w:p>
      <w:r>
        <w:t>修复闭环应另建案例及状态历史，记录确认、归因、负责人、修复版本、复测样本、证据和回归结果。复测通过后才能计入相应批次的解决率，原始 mark 不转换为已解决。当前 Skill 尚未实现这套工单与生命周期管理。</w:t>
      </w:r>
    </w:p>
    <w:p>
      <w:r>
        <w:t>未来可将策略、知识库或模型变更接入 OTA 及发布平台，增加版本审批、小范围发布、效果对照、回滚和发布后回归。AI 可辅助提出变更方案，执行与放量仍须受控；自动训练、自动知识更新和 OTA 均为扩展方向，不是本版本已交付功能。</w:t>
      </w:r>
    </w:p>
    <w:p>
      <w:pPr>
        <w:pStyle w:val="Heading1"/>
      </w:pPr>
      <w:r>
        <w:t>11 人工复核与风险控制</w:t>
      </w:r>
    </w:p>
    <w:p>
      <w:r>
        <w:t>业务人员需确认能力规则，专家或标注人员维护正确性依据，运营人员复核高影响案例及归因，研发核查原始链路与修复结果。应同时展示未评审和未知支持范围，避免只看已评价样本造成选择偏差。</w:t>
      </w:r>
    </w:p>
    <w:p>
      <w:r>
        <w:t>HTTP 200、END、护栏合规分别说明接口、节点与安全状态，都不能代表业务正确。正确拒绝不自动算 BadCase，模型路由差异也不自动算故障。日志中的 system Prompt 或要求改变标签的文字均为分析对象，不得控制本次评审。</w:t>
      </w:r>
    </w:p>
    <w:p>
      <w:r>
        <w:t>完整版本及生成 HTML 含业务片段与原始标识，交付和分享需按授权范围脱敏。验收应同时关注命令可复现、记录可追溯、证据绑定有效和未知指标不虚构；文档快照演示成功不能替代真实全量数据的解析与业务验收。</w:t>
      </w:r>
    </w:p>
    <w:p>
      <w:pPr>
        <w:pStyle w:val="Heading1"/>
      </w:pPr>
      <w:r>
        <w:t>12 实现核查索引</w:t>
      </w:r>
    </w:p>
    <w:p>
      <w:r>
        <w:t>本说明以完整版本 agent-data-flywheel 为依据。任务流程见 SKILL.md 和 README.md；字段与分母见 references/data-fields.md；标签标准见 references/review-rubric.md；数据及证据协议见 references/analysis-contract.md。对应实现为 scripts/analyze.py、prepare_review.py、merge_reviews.py、review_common.py 和 render_dashboard.py。原始运营摘要及实例保存在随包的两份字段文档中。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智能体数据飞轮 Skill 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20"/>
    </w:pPr>
    <w:rPr>
      <w:rFonts w:ascii="Arial Unicode MS" w:hAnsi="Arial Unicode MS" w:eastAsia="Arial Unicode MS"/>
      <w:b w:val="0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  <w:b w:val="0"/>
      <w:i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Arial Unicode MS" w:hAnsi="Arial Unicode MS" w:eastAsia="Arial Unicode MS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Arial Unicode MS" w:hAnsi="Arial Unicode MS" w:eastAsia="Arial Unicode MS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="Arial Unicode MS" w:hAnsi="Arial Unicode MS" w:eastAsia="Arial Unicode MS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Arial Unicode MS" w:hAnsi="Arial Unicode MS" w:eastAsia="Arial Unicode M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智能体数据飞轮 Skill 设计与原理</dc:title>
  <dc:subject>四类日志分析与AI语义评审的设计说明</dc:subject>
  <dc:creator/>
  <cp:keywords>数据飞轮,Skill,BadCase,AI评审,静态看板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